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33 BbgBestG (Brandenburg) — Ausgrabung, Umbettung</w:t>
      </w:r>
    </w:p>
    <w:p>
      <w:r>
        <w:rPr>
          <w:color w:val="555555"/>
          <w:sz w:val="18"/>
        </w:rPr>
        <w:t xml:space="preserve">Brandenburgisches Bestattungsgesetz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Ruhe der Toten darf grundsätzlich nicht gestört werden.</w:t>
      </w:r>
    </w:p>
    <w:p>
      <w:r>
        <w:t xml:space="preserve">(2) Ausgrabungen und Umbettungen von Leichen und Urnen darf der Träger des Friedhofes vor Ablauf der Ruhezeit nur zulassen, wenn ein wichtiger Grund eine Störung der Totenruhe rechtfertigt. Ausgrabungen und Umbettungen von Leichen bedürfen der Zustimmung der unteren Gesundheitsbehörde. Umbettungen von Leichen im Zeitraum von zwei Wochen bis zu sechs Monaten nach der Beisetzung sind unzulässig, sofern die Ausgrabung oder Umbettung nicht richterlich angeordnet ist.</w:t>
      </w:r>
    </w:p>
    <w:p>
      <w:r>
        <w:t xml:space="preserve">(3) Dem Antrag auf Erteilung einer Genehmigung zur Umbettung ist der Nachweis beizufügen, dass eine andere Grabstätte zur Verfügung steht.</w:t>
      </w:r>
    </w:p>
    <w:p>
      <w:r>
        <w:t xml:space="preserve">(4) Mit einer Umbettung beginnt keine neue Ruhezeit.</w:t>
      </w:r>
    </w:p>
    <w:p>
      <w:r>
        <w:rPr>
          <w:color w:val="555555"/>
          <w:sz w:val="17"/>
        </w:rPr>
        <w:t xml:space="preserve">Zitiervorschlag: § 33 BbgBestG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https://recht.nulegal.eu/gesetze/BbgBestG/33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