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BbgBestG (Brandenburg) — Begriffsbestimmungen</w:t>
      </w:r>
    </w:p>
    <w:p>
      <w:r>
        <w:rPr>
          <w:color w:val="555555"/>
          <w:sz w:val="18"/>
        </w:rPr>
        <w:t xml:space="preserve">Brandenburgisches Bestattungsgesetz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Leiche im Sinne dieses Gesetzes ist der Körper</w:t>
      </w:r>
    </w:p>
    <w:p>
      <w:r>
        <w:t xml:space="preserve">einer Person, bei der sichere Zeichen des Todes bestehen oder bei der der Tod auf andere Weise zuverlässig festgestellt worden ist,</w:t>
      </w:r>
    </w:p>
    <w:p>
      <w:r>
        <w:t xml:space="preserve">einer neugeborenen Person (Neugeborenes), bei der nach vollständigem Verlassen des Mutterleibes das Herz geschlagen oder die Nabelschnur pulsiert oder die natürliche Lungenatmung eingesetzt hat und die danach verstorben ist, oder</w:t>
      </w:r>
    </w:p>
    <w:p>
      <w:r>
        <w:t xml:space="preserve">einer totgeborenen Person (Totgeborenes), bei der keines der unter Nummer 2 genannten Lebenszeichen festzustellen war und deren Geburtsgewicht mindestens 500 Gramm betrug.</w:t>
      </w:r>
    </w:p>
    <w:p>
      <w:r>
        <w:t xml:space="preserve">(2) Fehlgeborene im Sinne dieses Gesetzes sind Totgeborene mit einem Gewicht unter 500 Gramm.</w:t>
      </w:r>
    </w:p>
    <w:p>
      <w:r>
        <w:t xml:space="preserve">(3) Grabstätte im Sinne dieses Gesetzes ist der Platz, der für eine Beisetzung einer oder mehrerer verstorbener, tot- oder fehlgeborener Personen bestimmt ist. Grab im Sinne dieses Gesetzes ist die Stelle einer Grabstätte, an der eine Leiche oder die Totenasche einer verstorbenen, tot- oder fehlgeborenen Person beigesetzt worden ist oder menschliche Überreste nach § 19 Absatz 1 Satz 4 oder 5 beigesetzt worden sind.</w:t>
      </w:r>
    </w:p>
    <w:p>
      <w:r>
        <w:rPr>
          <w:color w:val="555555"/>
          <w:sz w:val="17"/>
        </w:rPr>
        <w:t xml:space="preserve">Zitiervorschlag: § 3 BbgBestG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https://recht.nulegal.eu/gesetze/BbgBestG/3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