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BbgBestG (Brandenburg) — Andere Friedhöfe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Religions- und Weltanschauungsgemeinschaften, die Körperschaften des öffentlichen Rechts sind, können eigene Friedhöfe nach Maßgabe der Gesetze anlegen, erweitern und wiederbelegen sowie Leichenhallen errichten. Sie sind Friedhofsträger.</w:t>
      </w:r>
    </w:p>
    <w:p>
      <w:r>
        <w:t xml:space="preserve">(2) Die Bestattung von Verstorbenen, die nicht der jeweiligen Religions- oder Weltanschauungsgemeinschaft angehören, liegt auf Friedhöfen nach Absatz 1 im Ermessen des jeweiligen Friedhofsträgers. Soweit es die religiöse oder weltanschauliche Ordnung des Friedhofsträgers zulässt, darf die Bestattung der in § 27 Absatz 2 genannten Verstorbenen nicht verweigert werden, wenn in zumutbarer Entfernung keine gemeindlichen Friedhöfe bestehen. Dies gilt auch dann, wenn es sich um andersgläubige oder konfessionslose Verstorbene handelt.</w:t>
      </w:r>
    </w:p>
    <w:p>
      <w:r>
        <w:rPr>
          <w:color w:val="555555"/>
          <w:sz w:val="17"/>
        </w:rPr>
        <w:t xml:space="preserve">Zitiervorschlag: § 28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