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25 BbgBestG (Brandenburg) — Beisetzungsort</w:t>
      </w:r>
    </w:p>
    <w:p>
      <w:r>
        <w:rPr>
          <w:color w:val="555555"/>
          <w:sz w:val="18"/>
        </w:rPr>
        <w:t xml:space="preserve">Brandenburgisches Bestattungsgesetz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Erdbestattungen dürfen nur auf Friedhöfen in der Erde, in einer unterirdischen Gruft oder einem oberirdischen Grabgebäude vorgenommen werden. Bei der Feuerbestattung ist die Beisetzung</w:t>
      </w:r>
    </w:p>
    <w:p>
      <w:r>
        <w:t xml:space="preserve">auf einem Friedhof</w:t>
      </w:r>
    </w:p>
    <w:p>
      <w:r>
        <w:t xml:space="preserve">in einer Urne in der Erde oder in einer Urnenstele oder in einer Urnenwand,</w:t>
      </w:r>
    </w:p>
    <w:p>
      <w:r>
        <w:t xml:space="preserve">in einer unterirdischen Gruft oder einem oberirdischen Grabgebäude oder</w:t>
      </w:r>
    </w:p>
    <w:p>
      <w:r>
        <w:t xml:space="preserve">durch Verstreuen auf einer hierfür bestimmten Stelle (Aschestreuwiese) oder</w:t>
      </w:r>
    </w:p>
    <w:p>
      <w:r>
        <w:t xml:space="preserve">in einer Urne in einer Kirche oder</w:t>
      </w:r>
    </w:p>
    <w:p>
      <w:r>
        <w:t xml:space="preserve">auf hoher See, wenn dies der Wunsch der verstorbenen Person war und andere Rechtsvorschriften dem nicht entgegenstehen,</w:t>
      </w:r>
    </w:p>
    <w:p>
      <w:r>
        <w:t xml:space="preserve">vorzunehmen.</w:t>
      </w:r>
    </w:p>
    <w:p>
      <w:r>
        <w:t xml:space="preserve">(2) Die örtliche Ordnungsbehörde kann im Einzelfall im Einvernehmen mit der unteren Gesundheitsbehörde Ausnahmen vom Friedhofszwang nach Absatz 1 Satz 1 und Satz 2 Nummer 1 zulassen, wenn ein wichtiger Grund vorliegt und öffentliche Belange nicht entgegenstehen.</w:t>
      </w:r>
    </w:p>
    <w:p>
      <w:r>
        <w:t xml:space="preserve">(3) Der Friedhofsträger hat erfolgte Beisetzungen in geeigneter Form dauerhaft zu dokumentieren.</w:t>
      </w:r>
    </w:p>
    <w:p>
      <w:r>
        <w:rPr>
          <w:color w:val="555555"/>
          <w:sz w:val="17"/>
        </w:rPr>
        <w:t xml:space="preserve">Zitiervorschlag: § 25 BbgBestG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https://recht.nulegal.eu/gesetze/BbgBestG/25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