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BbgBestG (Brandenburg) — Verfahren der anatomischen Sektion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für die anatomische Sektion verantwortliche Ärztin oder Hochschullehrerin oder der für die anatomische Sektion verantwortliche Arzt oder Hochschullehrer fertigt eine Niederschrift über das Vorliegen der Voraussetzungen nach § 15 an. Die Niederschrift kann auch elektronisch erfolgen. Erfolgt die Niederschrift auf elektronischem Wege, ist diese durch elektronischen Schriftformersatz der durchführenden Ärztin oder des durchführenden Arztes zu zeichnen.</w:t>
      </w:r>
    </w:p>
    <w:p>
      <w:r>
        <w:t xml:space="preserve">(2) Nach Beendigung der anatomischen Sektion hat die verantwortliche Person nach Absatz 1 für die Bestattung zu sorgen und darüber eine Niederschrift anzufertigen. Absatz 1 Satz 2 und 3 gilt entsprechend.</w:t>
      </w:r>
    </w:p>
    <w:p>
      <w:r>
        <w:t xml:space="preserve">(3) Soweit es im Hinblick auf den Zweck der anatomischen Sektion nach § 14 erforderlich ist, dürfen Leichenteile zurückbehalten werden.</w:t>
      </w:r>
    </w:p>
    <w:p>
      <w:r>
        <w:rPr>
          <w:color w:val="555555"/>
          <w:sz w:val="17"/>
        </w:rPr>
        <w:t xml:space="preserve">Zitiervorschlag: § 16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