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BbgBestG (Brandenburg) — Anatomische Sektion</w:t>
      </w:r>
    </w:p>
    <w:p>
      <w:r>
        <w:rPr>
          <w:color w:val="555555"/>
          <w:sz w:val="18"/>
        </w:rPr>
        <w:t xml:space="preserve">Brandenburgisches Bestattungsgesetz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29.07.2026 (konsolidierte Textfassung, kein amtliches Inkrafttretensdatum)</w:t>
      </w:r>
    </w:p>
    <w:p>
      <w:r>
        <w:t xml:space="preserve">Die anatomische Sektion ist die Zergliederung von Leichen oder Leichenteilen in anatomischen Instituten zum Zwecke der Lehre und Forschung über den Aufbau des menschlichen Körpers.</w:t>
      </w:r>
    </w:p>
    <w:p>
      <w:r>
        <w:rPr>
          <w:color w:val="555555"/>
          <w:sz w:val="17"/>
        </w:rPr>
        <w:t xml:space="preserve">Zitiervorschlag: § 14 BbgBestG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https://recht.nulegal.eu/gesetze/BbgBestG/14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