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BbgBestG (Brandenburg) — Zulässigkeit der klinischen Sektion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Außer in den sonst durch Gesetz geregelten Fällen ist die klinische Sektion zulässig, wenn die verstorbene Person oder ihre jeweils nächsten Angehörigen gemäß Absatz 5 schriftlich oder durch elektronischen Schriftformersatz in die Sektion eingewilligt haben.</w:t>
      </w:r>
    </w:p>
    <w:p>
      <w:r>
        <w:t xml:space="preserve">(2) Die klinische Sektion ist außerdem zulässig, wenn</w:t>
      </w:r>
    </w:p>
    <w:p>
      <w:r>
        <w:t xml:space="preserve">die klinische Sektion zur Klärung der Todesursache oder zur Überprüfung der Diagnose- und Therapieverfahren (Qualitätskontrolle) dient oder</w:t>
      </w:r>
    </w:p>
    <w:p>
      <w:r>
        <w:t xml:space="preserve">ein besonderes, dem Fortschritt der Medizin dienendes wissenschaftliches Interesse in Lehre, Forschung und Epidemiologie besteht oder</w:t>
      </w:r>
    </w:p>
    <w:p>
      <w:r>
        <w:t xml:space="preserve">die Fürsorge für die Hinterbliebenen, insbesondere im Gutachterwesen, im Versicherungsrecht, bei Erb- oder Infektionskrankheiten, die klinische Sektion erfordert</w:t>
      </w:r>
    </w:p>
    <w:p>
      <w:r>
        <w:t xml:space="preserve">und Ausschlussgründe nach Absatz 3 dem nicht entgegenstehen.</w:t>
      </w:r>
    </w:p>
    <w:p>
      <w:r>
        <w:t xml:space="preserve">(3) Die klinische Sektion ist nicht zulässig, wenn</w:t>
      </w:r>
    </w:p>
    <w:p>
      <w:r>
        <w:t xml:space="preserve">sie erkennbar dem Willen der verstorbenen Person widerspricht,</w:t>
      </w:r>
    </w:p>
    <w:p>
      <w:r>
        <w:t xml:space="preserve">die verstorbene Person eine einmal dokumentierte Zustimmung zur Sektion gegenüber der behandelnden Ärztin oder dem behandelnden Arzt zurückgenommen hat oder</w:t>
      </w:r>
    </w:p>
    <w:p>
      <w:r>
        <w:t xml:space="preserve">eine Einwilligung nach Absatz 1 nicht vorliegt und eine angehörige Person gemäß Absatz 5 nach dokumentierter Information über die beabsichtigte Sektion innerhalb von acht Tagesstunden widersprochen hat. Maßgeblich sind nur Tagesstunden zwischen 7 und 22 Uhr. Bei mehreren angehörigen Personen genügt es, wenn eine von ihnen beteiligt wird und eine Entscheidung trifft; es ist jedoch der Widerspruch einer anderen angehörigen Person beachtlich.</w:t>
      </w:r>
    </w:p>
    <w:p>
      <w:r>
        <w:t xml:space="preserve">(4) Der klinischen Sektion hat die Leichenschau nach den Bestimmungen dieses Gesetzes vorauszugehen. Anhaltspunkte für einen nicht natürlichen Tod dürfen sich dabei nicht ergeben haben.</w:t>
      </w:r>
    </w:p>
    <w:p>
      <w:r>
        <w:t xml:space="preserve">(5) Nächste Angehörige sind in der Rangfolge ihrer Aufzählung:</w:t>
      </w:r>
    </w:p>
    <w:p>
      <w:r>
        <w:t xml:space="preserve">die durch Ehe oder eingetragene Lebenspartnerschaft verbundene Person,</w:t>
      </w:r>
    </w:p>
    <w:p>
      <w:r>
        <w:t xml:space="preserve">volljährige Kinder,</w:t>
      </w:r>
    </w:p>
    <w:p>
      <w:r>
        <w:t xml:space="preserve">die Eltern,</w:t>
      </w:r>
    </w:p>
    <w:p>
      <w:r>
        <w:t xml:space="preserve">volljährige Geschwister,</w:t>
      </w:r>
    </w:p>
    <w:p>
      <w:r>
        <w:t xml:space="preserve">volljährige Enkelkinder,</w:t>
      </w:r>
    </w:p>
    <w:p>
      <w:r>
        <w:t xml:space="preserve">Großeltern sowie</w:t>
      </w:r>
    </w:p>
    <w:p>
      <w:r>
        <w:t xml:space="preserve">die Person, mit der die verstorbene Person in einer auf Dauer angelegten Lebensgemeinschaft gelebt hat.</w:t>
      </w:r>
    </w:p>
    <w:p>
      <w:r>
        <w:rPr>
          <w:color w:val="555555"/>
          <w:sz w:val="17"/>
        </w:rPr>
        <w:t xml:space="preserve">Zitiervorschlag: § 10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