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BbgBesZV (Brandenburg) — Inkrafttreten, Außerkrafttreten</w:t>
      </w:r>
    </w:p>
    <w:p>
      <w:r>
        <w:rPr>
          <w:color w:val="555555"/>
          <w:sz w:val="18"/>
        </w:rPr>
        <w:t xml:space="preserve">Brandenburgische Besoldungszuständigkeitsverordnung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 Gleichzeitig tritt die Bezügezuständigkeitsverordnung vom 21. Dezember 1993 (GVBl. 1994 II S. 3), die durch Artikel 2 der Verordnung vom 10. Mai 2004 ( GVBl. II S. 329, 330) geändert worden ist, außer Kraft.</w:t>
      </w:r>
    </w:p>
    <w:p>
      <w:r>
        <w:t xml:space="preserve">Einzelnorm</w:t>
      </w:r>
    </w:p>
    <w:p>
      <w:r>
        <w:t xml:space="preserve">Potsdam, den 21. Mai 2021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Dr. Dietmar Woidke</w:t>
      </w:r>
    </w:p>
    <w:p>
      <w:r>
        <w:t xml:space="preserve">Die Ministerin der Finanzen und für Europa</w:t>
      </w:r>
    </w:p>
    <w:p>
      <w:r>
        <w:t xml:space="preserve">Katrin Lange</w:t>
      </w:r>
    </w:p>
    <w:p>
      <w:r>
        <w:rPr>
          <w:color w:val="555555"/>
          <w:sz w:val="17"/>
        </w:rPr>
        <w:t xml:space="preserve">Zitiervorschlag: § 5 BbgBesZV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https://recht.nulegal.eu/gesetze/BbgBesZV/5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