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BbgBesZV (Brandenburg) — Zuständigkeiten der personalaktenführenden Stellen</w:t>
      </w:r>
    </w:p>
    <w:p>
      <w:r>
        <w:rPr>
          <w:color w:val="555555"/>
          <w:sz w:val="18"/>
        </w:rPr>
        <w:t xml:space="preserve">Brandenburgische Besoldungszuständigkeitsverordnung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personalaktenführenden Stellen sind zuständig für</w:t>
      </w:r>
    </w:p>
    <w:p>
      <w:r>
        <w:t xml:space="preserve">die Feststellung der vergütungsfähigen Mehrarbeitsstunden, des Stundensatzes der Mehrarbeitsvergütung und der Anspruchsvoraussetzungen für die Gewährung von Ausgleichszahlungen zur Abgeltung von Arbeitszeitguthaben,</w:t>
      </w:r>
    </w:p>
    <w:p>
      <w:r>
        <w:t xml:space="preserve">die Feststellung der Anspruchsvoraussetzungen und der Merkmale für die Gewährung von funktionsgebundenen Stellenzulagen, Erschwerniszulagen sowie sonstigen Zulagen, Prämien und Vergütungen,</w:t>
      </w:r>
    </w:p>
    <w:p>
      <w:r>
        <w:t xml:space="preserve">die Festsetzung von Ausgleichs- und Überleitungszulagen, soweit die Anspruchsvoraussetzungen auf Merkmalen beruhen, die nur den personalaktenführenden Stellen bekannt sind,</w:t>
      </w:r>
    </w:p>
    <w:p>
      <w:r>
        <w:t xml:space="preserve">die Feststellung der nach § 57 des Brandenburgischen Besoldungsgesetzes auf die Anwärterbezüge anzurechnenden anderen Einkünfte,</w:t>
      </w:r>
    </w:p>
    <w:p>
      <w:r>
        <w:t xml:space="preserve">die Entscheidung über die Anrechnung anderer Einkünfte gemäß § 10 Absatz 1 des Brandenburgischen Besoldungsgesetzes.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BbgBesZV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