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BbgBesG (Brandenburg) — Besoldung bei begrenzter Dienstfähigkeit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Beamtinnen, Beamte, Richterinnen und Richter, deren regelmäßige Arbeitszeit wegen begrenzter Dienstfähigkeit nach § 27 des Beamtenstatusgesetzes oder nach entsprechenden Bestimmungen für Richterinnen und Richter herabgesetzt wird, erhalten Besoldung entsprechend § 6 Absatz 1. Diese wird um einen nicht ruhegehaltfähigen Zuschlag ergänzt. Der Zuschlag beträgt 50 Prozent des Unterschiedsbetrags zwischen der nach Satz 1 gekürzten Besoldung und der Besoldung, die nach der regelmäßigen Arbeitszeit zu zahlen wäre.</w:t>
      </w:r>
    </w:p>
    <w:p>
      <w:r>
        <w:t xml:space="preserve">(2) Ein Zuschlag nach Absatz 1 wird nicht gewährt, wenn ein Zuschlag nach § 64 Absatz 1 zusteht.</w:t>
      </w:r>
    </w:p>
    <w:p>
      <w:r>
        <w:rPr>
          <w:color w:val="555555"/>
          <w:sz w:val="17"/>
        </w:rPr>
        <w:t xml:space="preserve">Zitiervorschlag: § 7 BbgBesG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