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65a BbgBesG (Brandenburg) — Übergangsregelung zum Mindestleistungsbezug</w:t>
      </w:r>
    </w:p>
    <w:p>
      <w:r>
        <w:rPr>
          <w:color w:val="555555"/>
          <w:sz w:val="18"/>
        </w:rPr>
        <w:t xml:space="preserve">Brandenburgisches Besoldungsgesetz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Betrag der zum 1. Oktober 2024 nach § 6 des Brandenburgischen Besoldungs- und Versorgungsanpassungsgesetzes 2024 in Kraft getretenen Erhöhung der Grundgehaltssätze der Besoldungsgruppen W 2 und W 3 wird auf die Berufungs- und Bleibeleistungsbezüge sowie besonderen Leistungsbezüge nach § 30 Satz 1 Nummer 1 und 2, die an Beamtinnen und Beamte der Besoldungsgruppen W 2 und W 3 laufend monatlich gezahlt werden, über deren Gewährung nach § 30 Absatz 1 Satz 1 Nummer 1 und 2 in der bis zum 30. September 2024 geltenden Fassung entschieden worden ist und deren Zahlung bis zu diesem Zeitpunkt begonnen hat, angerechnet.</w:t>
      </w:r>
    </w:p>
    <w:p>
      <w:r>
        <w:t xml:space="preserve">(2) Bei der Anrechnung nach Absatz 1 werden Leistungsbezüge in folgender Reihenfolge vermindert:</w:t>
      </w:r>
    </w:p>
    <w:p>
      <w:r>
        <w:t xml:space="preserve">unbefristete Leistungsbezüge nach § 31,</w:t>
      </w:r>
    </w:p>
    <w:p>
      <w:r>
        <w:t xml:space="preserve">unbefristete Leistungsbezüge nach § 32,</w:t>
      </w:r>
    </w:p>
    <w:p>
      <w:r>
        <w:t xml:space="preserve">befristete Leistungsbezüge nach § 31 und</w:t>
      </w:r>
    </w:p>
    <w:p>
      <w:r>
        <w:t xml:space="preserve">befristete Leistungsbezüge nach § 32.</w:t>
      </w:r>
    </w:p>
    <w:p>
      <w:r>
        <w:t xml:space="preserve">Soweit die Leistungsbezüge nach Satz 1 ruhegehaltfähig sind, bezieht sich die Kürzung jeweils vorrangig auf den ruhegehaltfähigen Anteil.</w:t>
      </w:r>
    </w:p>
    <w:p>
      <w:r>
        <w:rPr>
          <w:color w:val="555555"/>
          <w:sz w:val="17"/>
        </w:rPr>
        <w:t xml:space="preserve">Zitiervorschlag: § 65a BbgBesG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https://recht.nulegal.eu/gesetze/BbgBesG/65a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