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BbgBesG (Brandenburg) — Vermögenswirksame Leistungen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Beamtinnen, Beamte, Richterinnen und Richter erhalten vermögenswirksame Leistungen nach dem Fünften Vermögensbildungsgesetz.</w:t>
      </w:r>
    </w:p>
    <w:p>
      <w:r>
        <w:t xml:space="preserve">(2) Vermögenswirksame Leistungen werden für die Kalendermonate gewährt, in denen den Berechtigten Dienstbezüge oder Anwärterbezüge zustehen und gezahlt werden. Sie werden im Kalendermonat jeweils nur einmal gewährt.</w:t>
      </w:r>
    </w:p>
    <w:p>
      <w:r>
        <w:t xml:space="preserve">(3) Der Anspruch auf vermögenswirksame Leistungen entsteht frühestens für den Kalendermonat, in dem die nach § 60 Absatz 3 erforderlichen Angaben mitgeteilt werden, und für die beiden vorangegangenen Monate desselben Kalenderjahres.</w:t>
      </w:r>
    </w:p>
    <w:p>
      <w:r>
        <w:rPr>
          <w:color w:val="555555"/>
          <w:sz w:val="17"/>
        </w:rPr>
        <w:t xml:space="preserve">Zitiervorschlag: § 59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