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BbgBesG (Brandenburg) — Ausgleichszulagen bei Wegfall von Stellenzulagen</w:t>
      </w:r>
    </w:p>
    <w:p>
      <w:r>
        <w:rPr>
          <w:color w:val="555555"/>
          <w:sz w:val="18"/>
        </w:rPr>
        <w:t xml:space="preserve">Brandenburgisches Besoldungsgesetz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Wegfall einer nach diesem Gesetz zustehenden Stellenzulage aus dienstlichen Gründen, die nicht von der Beamtin, dem Beamten, der Richterin oder dem Richter zu vertreten sind, wird ausgeglichen, wenn die Stellenzulage zuvor in einem Zeitraum von bis zu sieben Jahren insgesamt mindestens fünf Jahre zugestanden hat. Die Ausgleichszulage wird auf den Betrag festgesetzt, der am Tag vor dem Wegfall zugestanden hat. Jeweils nach Ablauf eines Jahres vermindert sich die Ausgleichszulage ab Beginn des Folgemonats um 20 Prozent des festgesetzten Betrags. Erhöhen sich die Dienstbezüge wegen des Anspruchs auf eine Stellenzulage, wird diese auf die Ausgleichszulage angerechnet. Bezugszeiten von Stellenzulagen, die bereits zu einem Anspruch auf eine Ausgleichszulage geführt haben, bleiben für weitere Ausgleichsansprüche unberücksichtigt.</w:t>
      </w:r>
    </w:p>
    <w:p>
      <w:r>
        <w:t xml:space="preserve">(2) Bestand innerhalb des Zeitraumes nach Absatz 1 Satz 1 ein Anspruch auf mehrere Stellenzulagen für einen Gesamtzeitraum von mindestens fünf Jahren, ohne dass eine der Stellenzulagen allein für fünf Jahre zugestanden hat, gilt Absatz 1 mit der Maßgabe, dass der Wegfall der Stellenzulage mit dem jeweils niedrigsten Betrag ausgeglichen wird.</w:t>
      </w:r>
    </w:p>
    <w:p>
      <w:r>
        <w:t xml:space="preserve">(3) Erfolgte der Wegfall einer Stellenzulage infolge einer Versetzung nach § 30 Absatz 3 des Landesbeamtengesetzes, gilt Absatz 1 mit der Maßgabe, dass der Mindestzeitraum nach Absatz 1 Satz 1 und Absatz 2 zwei Jahre beträgt.</w:t>
      </w:r>
    </w:p>
    <w:p>
      <w:r>
        <w:t xml:space="preserve">(4) Die Absätze 1 bis 3 gelten entsprechend, wenn eine Ruhegehaltsempfängerin oder ein Ruhegehaltsempfänger erneut in ein Beamtenverhältnis oder Richterverhältnis berufen wird oder wenn im unmittelbaren Zusammenhang mit einem Verwendungswechsel eine zuvor gewährte Stellenzulage nur noch mit einem geringeren Betrag zusteht und die jeweilige Zulagenvorschrift keinen anderweitigen Ausgleich vorsieht.</w:t>
      </w:r>
    </w:p>
    <w:p>
      <w:r>
        <w:rPr>
          <w:color w:val="555555"/>
          <w:sz w:val="17"/>
        </w:rPr>
        <w:t xml:space="preserve">Zitiervorschlag: § 51 BbgBesG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https://recht.nulegal.eu/gesetze/BbgBesG/51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