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BbgBesG (Brandenburg) — Amtszulagen und Stellenzulagen</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herausgehobene Funktionen können Amtszulagen und Stellenzulagen vorgesehen werden. Sie dürfen 75 Prozent des Unterschiedsbetrags zwischen dem Endgrundgehalt der Besoldungsgruppe der Beamtin, des Beamten, der Richterin oder des Richters und dem Endgrundgehalt der nächsthöheren Besoldungsgruppe nicht übersteigen, soweit gesetzlich nichts anderes bestimmt ist.</w:t>
      </w:r>
    </w:p>
    <w:p>
      <w:r>
        <w:t xml:space="preserve">(2) Die Amtszulagen sind unwiderruflich und ruhegehaltfähig. Sie gelten als Bestandteil des Grundgehalts.</w:t>
      </w:r>
    </w:p>
    <w:p>
      <w:r>
        <w:t xml:space="preserve">(3) Die Stellenzulagen dürfen nur für die Dauer der Wahrnehmung der herausgehobenen Funktion gewährt werden. Sie sind widerruflich und nur ruhegehaltfähig, wenn dies gesetzlich bestimmt ist.</w:t>
      </w:r>
    </w:p>
    <w:p>
      <w:r>
        <w:rPr>
          <w:color w:val="555555"/>
          <w:sz w:val="17"/>
        </w:rPr>
        <w:t xml:space="preserve">Zitiervorschlag: § 41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