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BbgBesG (Brandenburg) — Weitergewährung der Besoldung bei Versetzung in den einstweiligen Ruhestand oder bei Abwahl von Wahlbeamtinnen und Wahlbeamten auf Zeit</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Beamtinnen, Beamte, Richterinnen und Richter, die in den einstweiligen Ruhestand versetzt worden sind, erhalten für den Monat, in dem die Versetzung in den einstweiligen Ruhestand mitgeteilt worden ist, und für die folgenden drei Monate die Bezüge weiter, die ihnen am Tag vor der Versetzung zustanden; Änderungen beim Familienzuschlag sind zu berücksichtigen. Aufwandsentschädigungen werden nur bis zum Beginn des einstweiligen Ruhestands gezahlt.</w:t>
      </w:r>
    </w:p>
    <w:p>
      <w:r>
        <w:t xml:space="preserve">(2) Beziehen in den einstweiligen Ruhestand versetzte Beamtinnen, Beamte, Richterinnen oder Richter Einkünfte aus einer selbstständigen oder nicht selbstständigen Tätigkeit, so erfolgt eine hälftige Anrechnung dieser Einkünfte. Dabei wird mindestens ein Betrag von 20 Prozent des nach Absatz 1 zustehenden Betrags belassen. Bei einer Verwendung im Dienst eines öffentlich-rechtlichen Dienstherrn (§ 28) oder eines Verbandes, dessen Mitglieder öffentlich-rechtliche Dienstherren sind, werden die Bezüge um den Betrag der daraus erzielten Einkünfte verringert. Dem Dienst bei einem öffentlich-rechtlichen Dienstherrn steht die Tätigkeit im Dienst einer zwischenstaatlichen oder überstaatlichen Einrichtung gleich, an der ein öffentlich-rechtlicher Dienstherr oder ein Verband, dessen Mitglieder öffentlich-rechtliche Dienstherren sind, durch Zahlung von Beiträgen oder Zuschüssen oder in anderer Weise beteiligt ist. Die Entscheidung, ob die Voraussetzungen erfüllt sind, trifft das für das Besoldungsrecht zuständige Ministerium oder die von ihm bestimmte Stelle.</w:t>
      </w:r>
    </w:p>
    <w:p>
      <w:r>
        <w:t xml:space="preserve">(3) Wird eine Wahlbeamtin auf Zeit oder ein Wahlbeamter auf Zeit abgewählt, so gelten die Absätze 1 und 2 entsprechend; an die Stelle der Mitteilung über die Versetzung in den einstweiligen Ruhestand tritt die Mitteilung über die Abwahl oder der sonst bestimmte Beendigungszeitpunkt für das Beamtenverhältnis auf Zeit. Satz 1 gilt entsprechend für die Fälle des Eintritts in den einstweiligen Ruhestand kraft Gesetzes.</w:t>
      </w:r>
    </w:p>
    <w:p>
      <w:r>
        <w:rPr>
          <w:color w:val="555555"/>
          <w:sz w:val="17"/>
        </w:rPr>
        <w:t xml:space="preserve">Zitiervorschlag: § 4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