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BbgBesG (Brandenburg) — Bemessung des Grundgehalts</w:t>
      </w:r>
    </w:p>
    <w:p>
      <w:r>
        <w:rPr>
          <w:color w:val="555555"/>
          <w:sz w:val="18"/>
        </w:rPr>
        <w:t xml:space="preserve">Brandenburgisches Besoldungsgesetz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Grundgehalt wird, soweit gesetzlich nichts anderes bestimmt ist, nach Stufen bemessen. Die §§ 25 bis 28 gelten entsprechend mit folgenden Maßgaben:</w:t>
      </w:r>
    </w:p>
    <w:p>
      <w:r>
        <w:t xml:space="preserve">Das Grundgehalt steigt im Abstand von zwei Jahren bis zum Erreichen der letzten Stufe.</w:t>
      </w:r>
    </w:p>
    <w:p>
      <w:r>
        <w:t xml:space="preserve">§ 25 Absatz 4 und 5 findet keine Anwendung.</w:t>
      </w:r>
    </w:p>
    <w:p>
      <w:r>
        <w:rPr>
          <w:color w:val="555555"/>
          <w:sz w:val="17"/>
        </w:rPr>
        <w:t xml:space="preserve">Zitiervorschlag: § 39 BbgBesG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https://recht.nulegal.eu/gesetze/BbgBesG/39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