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BbgBesG (Brandenburg) — Hauptamtliche kommunale Wahlbeamtinnen und Wahlbeamte auf Zeit</w:t>
      </w:r>
    </w:p>
    <w:p>
      <w:r>
        <w:rPr>
          <w:color w:val="555555"/>
          <w:sz w:val="18"/>
        </w:rPr>
        <w:t xml:space="preserve">Brandenburgisches Besoldungsgesetz</w:t>
      </w:r>
    </w:p>
    <w:p>
      <w:r>
        <w:rPr>
          <w:color w:val="555555"/>
          <w:sz w:val="18"/>
        </w:rPr>
        <w:t xml:space="preserve">Landesrecht Brandenburg</w:t>
      </w:r>
    </w:p>
    <w:p>
      <w:r>
        <w:rPr>
          <w:color w:val="555555"/>
          <w:sz w:val="18"/>
        </w:rPr>
        <w:t xml:space="preserve">Stand: 30.07.2026 (konsolidierte Textfassung, kein amtliches Inkrafttretensdatum)</w:t>
      </w:r>
    </w:p>
    <w:p>
      <w:r>
        <w:t xml:space="preserve">Das für Inneres zuständige Mitglied der Landesregierung wird ermächtigt, durch Rechtsverordnung im Einvernehmen mit dem für das Besoldungsrecht zuständigen Mitglied der Landesregierung die Ämter der hauptamtlichen Wahlbeamtinnen und Wahlbeamten auf Zeit der Gemeinden und der Gemeindeverbände unter Berücksichtigung der Einwohnerzahl den Besoldungsgruppen der Besoldungsordnungen A und B zuzuordnen. Dabei können bei Körperschaften einer Größenklasse höchstens zwei Besoldungsgruppen für ein Amt vorgesehen werden. Für diese Beamtinnen und Beamten kann der Beginn des Aufsteigens in den Stufen abweichend von § 25 geregelt werden.</w:t>
      </w:r>
    </w:p>
    <w:p>
      <w:r>
        <w:rPr>
          <w:color w:val="555555"/>
          <w:sz w:val="17"/>
        </w:rPr>
        <w:t xml:space="preserve">Zitiervorschlag: § 21 BbgBesG (Brandenburg)</w:t>
      </w:r>
    </w:p>
    <w:p>
      <w:r>
        <w:rPr>
          <w:color w:val="555555"/>
          <w:sz w:val="17"/>
        </w:rPr>
        <w:t xml:space="preserve">Quelle: bravors, abgerufen 29.07.2026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https://recht.nulegal.eu/gesetze/BbgBesG/21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