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BbgBesG (Brandenburg) — Besoldungsordnungen A und B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Ämter der Beamtinnen und Beamten und ihre Besoldungsgruppen sind in den Besoldungsordnungen geregelt. § 21 bleibt unberührt.</w:t>
      </w:r>
    </w:p>
    <w:p>
      <w:r>
        <w:t xml:space="preserve">(2) Die Besoldungsordnung A (aufsteigende Gehälter) und die Besoldungsordnung B (feste Gehälter) sind in Anlage 1, die Grundgehaltssätze der Besoldungsgruppen sind in Anlage 4 ausgewiesen.</w:t>
      </w:r>
    </w:p>
    <w:p>
      <w:r>
        <w:rPr>
          <w:color w:val="555555"/>
          <w:sz w:val="17"/>
        </w:rPr>
        <w:t xml:space="preserve">Zitiervorschlag: § 20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