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BbgBesG (Brandenburg) — Aufwandsentschädigungen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Aufwandsentschädigungen dürfen nur gewährt werden, wenn und soweit aus dienstlicher Veranlassung finanzielle Aufwendungen entstehen, deren Übernahme Beamtinnen, Beamten, Richterinnen oder Richtern nicht zugemutet werden kann, und der Haushaltsplan Mittel dafür zur Verfügung stellt. Aufwandsentschädigungen in festen Beträgen sind nur zulässig, wenn aufgrund tatsächlicher Anhaltspunkte oder tatsächlicher Erhebungen nachvollziehbar ist, dass und in welcher Höhe dienstbezogene finanzielle Aufwendungen typischerweise entstehen. Sie werden im Einvernehmen mit dem für das Besoldungsrecht zuständigen Ministerium festgesetzt.</w:t>
      </w:r>
    </w:p>
    <w:p>
      <w:r>
        <w:t xml:space="preserve">(2) Das fachlich zuständige Mitglied der Landesregierung wird ermächtigt, durch Rechtsverordnung im Einvernehmen mit dem für das Besoldungsrecht zuständigen Mitglied der Landesregierung Richtlinien für die Gewährung von Dienstaufwandsentschädigungen an die Beamtinnen und Beamten der Gemeinden, der Gemeindeverbände und der sonstigen der Aufsicht des Landes unterstehenden Körperschaften, Anstalten und Stiftungen des öffentlichen Rechts zu erlassen und dabei Höchstgrenzen festzulegen. Die Richtlinien dürfen von den für die Beamtinnen und Beamten des Landes geltenden Bestimmungen nur abweichen, wenn dies wegen der Verschiedenheit der Verhältnisse sachlich notwendig ist.</w:t>
      </w:r>
    </w:p>
    <w:p>
      <w:r>
        <w:t xml:space="preserve">(3) Soweit Vorschriften nach Absatz 2 nicht erlassen worden sind, bedarf die Ausbringung von Mitteln für Aufwandsentschädigungen im Haushaltsplan oder einem entsprechenden Plan der Gemeinden, der Gemeindeverbände und der sonstigen der Aufsicht des Landes unterstehenden Körperschaften, Anstalten und Stiftungen des öffentlichen Rechts der Zustimmung der obersten Aufsichtsbehörde und des für das Besoldungsrecht zuständigen Mitglieds der Landesregierung oder der von ihnen bestimmten Stelle.</w:t>
      </w:r>
    </w:p>
    <w:p>
      <w:r>
        <w:t xml:space="preserve">(4) Neben der Besoldung einschließlich Aufwandsentschädigungen dürfen sonstige Geldzuwendungen an Beamtinnen und Beamte der Gemeinden, der Gemeindeverbände und der sonstigen der Aufsicht des Landes unterstehenden Körperschaften, Anstalten und Stiftungen des öffentlichen Rechts nur insoweit gewährt werden, als sie die Geldzuwendungen nach den für die Beamtinnen und Beamten des Landes geltenden Regelungen nicht übersteigen. Sonstige Geldzuwendungen sind Geldleistungen und geldwerte Leistungen, die die Beamtinnen und Beamten unmittelbar oder mittelbar von ihrem Dienstherrn erhalten.</w:t>
      </w:r>
    </w:p>
    <w:p>
      <w:r>
        <w:t xml:space="preserve">(5) Absatz 4 gilt nicht für im Wettbewerb stehende Unternehmen in öffentlich-rechtlicher Rechtsform und deren Verbände sowie im Wettbewerb stehende Eigenbetriebe.</w:t>
      </w:r>
    </w:p>
    <w:p>
      <w:r>
        <w:t xml:space="preserve">(6) Vorschriften der Kommunalverfassung des Landes Brandenburg zur Gewährung von Aufwandsentschädigungen an Beamtinnen und Beamte, die eine Gemeinde oder einen Gemeindeverband in rechtlich selbstständigen Unternehmen vertreten, bleiben unberührt.</w:t>
      </w:r>
    </w:p>
    <w:p>
      <w:r>
        <w:rPr>
          <w:color w:val="555555"/>
          <w:sz w:val="17"/>
        </w:rPr>
        <w:t xml:space="preserve">Zitiervorschlag: § 17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