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BbgBesG (Brandenburg) — Anpassung der Besoldung</w:t>
      </w:r>
    </w:p>
    <w:p>
      <w:r>
        <w:rPr>
          <w:color w:val="555555"/>
          <w:sz w:val="18"/>
        </w:rPr>
        <w:t xml:space="preserve">Brandenburgisches Besoldungsgesetz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Die Besoldung wird entsprechend der Entwicklung der allgemeinen wirtschaftlichen und finanziellen Verhältnisse und unter Berücksichtigung der mit den Dienstaufgaben verbundenen Verantwortung durch Gesetz regelmäßig angepasst.</w:t>
      </w:r>
    </w:p>
    <w:p>
      <w:r>
        <w:rPr>
          <w:color w:val="555555"/>
          <w:sz w:val="17"/>
        </w:rPr>
        <w:t xml:space="preserve">Zitiervorschlag: § 14 BbgBesG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https://recht.nulegal.eu/gesetze/BbgBesG/14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