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BbgBesG (Brandenburg) — Anrechnung von Sachbezügen auf die Besoldung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Erhalten Beamtinnen, Beamte, Richterinnen oder Richter Sachbezüge, so werden diese unter Berücksichtigung ihres wirtschaftlichen Wertes mit einem angemessenen Betrag auf die Besoldung angerechnet, soweit nicht etwas anderes bestimmt ist.</w:t>
      </w:r>
    </w:p>
    <w:p>
      <w:r>
        <w:t xml:space="preserve">(2) Das für das Besoldungsrecht zuständige Mitglied der Landesregierung wird ermächtigt, durch Rechtsverordnung Näheres im Einvernehmen mit dem für das allgemeine öffentliche Dienstrecht zuständigen Mitglied der Landesregierung zu regeln. Das jeweils fachlich zuständige Mitglied der Landesregierung wird ermächtigt, durch Rechtsverordnung im Einvernehmen mit dem für das Besoldungsrecht zuständigen Mitglied der Landesregierung für die Beamtinnen und Beamten der Gemeinden, der Gemeindeverbände und der sonstigen der Aufsicht des Landes unterstehenden Körperschaften, Anstalten und Stiftungen des öffentlichen Rechts Näheres zu regeln.</w:t>
      </w:r>
    </w:p>
    <w:p>
      <w:r>
        <w:rPr>
          <w:color w:val="555555"/>
          <w:sz w:val="17"/>
        </w:rPr>
        <w:t xml:space="preserve">Zitiervorschlag: § 11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