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BbgBeglBestV (Brandenburg) — Inkrafttreten, Außerkrafttreten</w:t>
      </w:r>
    </w:p>
    <w:p>
      <w:r>
        <w:rPr>
          <w:color w:val="555555"/>
          <w:sz w:val="18"/>
        </w:rPr>
        <w:t xml:space="preserve">Brandenburgische Beglaubigungsbestimmungsverordnung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</w:t>
      </w:r>
    </w:p>
    <w:p>
      <w:r>
        <w:t xml:space="preserve">Verordnung zur Bestimmung der zur amtlichen Beglaubigung befugten Behörden vom</w:t>
      </w:r>
    </w:p>
    <w:p>
      <w:r>
        <w:t xml:space="preserve">8. Juli 1993 (GVBl. II S. 334) außer Kraft.</w:t>
      </w:r>
    </w:p>
    <w:p>
      <w:r>
        <w:t xml:space="preserve">Potsdam, den 30. August 2011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Der Minister des Innern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BbgBeglBestV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https://recht.nulegal.eu/gesetze/BbgBeglBestV/2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