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BbgBeglBestV (Brandenburg) — Befugnis zur amtlichen Beglaubigung</w:t>
      </w:r>
    </w:p>
    <w:p>
      <w:r>
        <w:rPr>
          <w:color w:val="555555"/>
          <w:sz w:val="18"/>
        </w:rPr>
        <w:t xml:space="preserve">Brandenburgische Beglaubigungsbestimmungsverordnung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amtlichen</w:t>
      </w:r>
    </w:p>
    <w:p>
      <w:r>
        <w:t xml:space="preserve">Beglaubigung nach den §§ 33 und 34 des Verwaltungsverfahrensgesetzes in</w:t>
      </w:r>
    </w:p>
    <w:p>
      <w:r>
        <w:t xml:space="preserve">Verbindung mit § 1 Absatz 1 des Verwaltungsverfahrensgesetzes für das Land</w:t>
      </w:r>
    </w:p>
    <w:p>
      <w:r>
        <w:t xml:space="preserve">Bandenburg sind die Behörden des Landes, der amtsfreien Gemeinden, der Ämter,</w:t>
      </w:r>
    </w:p>
    <w:p>
      <w:r>
        <w:t xml:space="preserve">der Gemeindeverbände und der sonstigen der Aufsicht des Landes unterstehenden</w:t>
      </w:r>
    </w:p>
    <w:p>
      <w:r>
        <w:t xml:space="preserve">juristischen Personen des öffentlichen Rechts befugt.</w:t>
      </w:r>
    </w:p>
    <w:p>
      <w:r>
        <w:t xml:space="preserve">(2) Behörde im Sinne</w:t>
      </w:r>
    </w:p>
    <w:p>
      <w:r>
        <w:t xml:space="preserve">dieser Verordnung ist jede Stelle, die Aufgaben der öffentlichen Verwaltung</w:t>
      </w:r>
    </w:p>
    <w:p>
      <w:r>
        <w:t xml:space="preserve">wahrnimmt.</w:t>
      </w:r>
    </w:p>
    <w:p>
      <w:r>
        <w:rPr>
          <w:color w:val="555555"/>
          <w:sz w:val="17"/>
        </w:rPr>
        <w:t xml:space="preserve">Zitiervorschlag: § 1 BbgBeglBestV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https://recht.nulegal.eu/gesetze/BbgBeglBestV/1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