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BbgBedarfV (Brandenburg) — Evaluation</w:t>
      </w:r>
    </w:p>
    <w:p>
      <w:r>
        <w:rPr>
          <w:color w:val="555555"/>
          <w:sz w:val="18"/>
        </w:rPr>
        <w:t xml:space="preserve">Brandenburgische Verordnung über das Instrument zur Bedarfsermittlung nach § 118 des Neunten Buches Sozialgesetzbuch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Instrument zur Bedarfsermittlung nach § 1 wird ab dem Jahr 2021 begleitend wissenschaftlich evaluiert.</w:t>
      </w:r>
    </w:p>
    <w:p>
      <w:r>
        <w:t xml:space="preserve">(2) Das Instrument ist in seiner Anwendung im Gesamtplanverfahren zu betrachten, wenn der örtliche Träger der Eingliederungshilfe der einzige zuständige Rehabilitationsträger ist und aus einer Leistungsgruppe Leistungen der Eingliederungshilfe bewilligt werden.</w:t>
      </w:r>
    </w:p>
    <w:p>
      <w:r>
        <w:t xml:space="preserve">(3) Das Instrument ist in seiner Anwendung im Teilhabeplanverfahren zu betrachten, wenn</w:t>
      </w:r>
    </w:p>
    <w:p>
      <w:r>
        <w:t xml:space="preserve">neben dem örtlichen Träger der Eingliederungshilfe weitere Rehabilitationsträger Leistungen bewilligen und der örtliche Träger der Eingliederungshilfe der leistende Rehabilitationsträger ist oder</w:t>
      </w:r>
    </w:p>
    <w:p>
      <w:r>
        <w:t xml:space="preserve">der örtliche Träger der Eingliederungshilfe der einzige zuständige Rehabilitationsträger ist und aus mehreren Leistungsgruppen gemäß § 5 des Neunten Buches Sozialgesetzbuch Leistungen der Eingliederungshilfe gewährt werden.</w:t>
      </w:r>
    </w:p>
    <w:p>
      <w:r>
        <w:t xml:space="preserve">(4) Der Abschlussbericht ist im Jahr 2023 vorzulegen.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BbgBedarfV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https://recht.nulegal.eu/gesetze/BbgBedarfV/2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