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84b BbgBeamtVG (Brandenburg) — Übergangsvorschrift zur Anrechnung von Leistungen nach § 3 Nummer 11a des Einkommensteuergesetzes</w:t>
      </w:r>
    </w:p>
    <w:p>
      <w:r>
        <w:rPr>
          <w:color w:val="555555"/>
          <w:sz w:val="18"/>
        </w:rPr>
        <w:t xml:space="preserve">Brandenburgisches Beamtenversorgungsgesetz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Leistungen, die nach § 3 Nummer 11a des Einkommensteuergesetzes steuerfrei gewährt werden, gelten nicht als Einkünfte oder Erwerbseinkommen.</w:t>
      </w:r>
    </w:p>
    <w:p>
      <w:r>
        <w:rPr>
          <w:color w:val="555555"/>
          <w:sz w:val="17"/>
        </w:rPr>
        <w:t xml:space="preserve">Zitiervorschlag: § 84b BbgBeamtVG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https://recht.nulegal.eu/gesetze/BbgBeamtVG/84b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