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BbgBeamtVG (Brandenburg) — Dienstherrenwechsel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Versorgungslastenteilung bei einem Dienstherrenwechsel von Beamtinnen und Beamten innerhalb des Geltungsbereiches dieses Gesetzes findet der Versorgungslastenteilungs-Staatsvertrag in Verbindung mit § 1 des Gesetzes zu dem Versorgungslastenteilungs-Staatsvertrag vom 15. Juli 2010 ( GVBl. I Nr. 27) entsprechende Anwendung.</w:t>
      </w:r>
    </w:p>
    <w:p>
      <w:r>
        <w:t xml:space="preserve">(2) Der Staatsvertrag nach Absatz 1 gilt nicht für Wechsel zwischen Dienstherren, bei dem sowohl der abgebende als auch der aufnehmende Dienstherr Mitglied in der Versorgungskasse beim Kommunalen Versorgungsverband Brandenburg ist.</w:t>
      </w:r>
    </w:p>
    <w:p>
      <w:r>
        <w:t xml:space="preserve">(3) Ist bei einem Dienstherrenwechsel nach Absatz 1 der aufnehmende Dienstherr Mitglied in der Versorgungskasse beim Kommunalen Versorgungsverband Brandenburg, so hat er die ihm vom abgebenden Dienstherrn gemäß dem Staatsvertrag nach Absatz 1 gezahlte Abfindung an die Versorgungskasse beim Kommunalen Versorgungsverband Brandenburg abzuführen.</w:t>
      </w:r>
    </w:p>
    <w:p>
      <w:r>
        <w:t xml:space="preserve">(4) Ist bei einem Dienstherrenwechsel nach Absatz 1 der abgebende Dienstherr Mitglied in der Versorgungskasse beim Kommunalen Versorgungsverband Brandenburg, so hat die Versorgungskasse die an den aufnehmenden Dienstherrn gemäß dem Staatsvertrag nach Absatz 1 zu zahlende Abfindung zu tragen.</w:t>
      </w:r>
    </w:p>
    <w:p>
      <w:r>
        <w:rPr>
          <w:color w:val="555555"/>
          <w:sz w:val="17"/>
        </w:rPr>
        <w:t xml:space="preserve">Zitiervorschlag: § 83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https://recht.nulegal.eu/gesetze/BbgBeamtVG/83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