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BbgBeamtVG (Brandenburg) — Einsatzversorgung</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Unfallfürsorge wie bei einem Dienstunfall wird auch dann gewährt, wenn eine Beamtin oder ein Beamter aufgrund eines in Ausübung oder infolge des Dienstes eingetretenen Unfalls oder einer derart eingetretenen Erkrankung im Sinne des § 45 bei einer besonderen Verwendung im Ausland eine gesundheitliche Schädigung erleidet (Einsatzunfall). Eine besondere Verwendung im Ausland ist eine Verwendung, die aufgrund eines Übereinkommens oder einer Vereinbarung mit einer über- oder zwischenstaatlichen Einrichtung oder mit einem auswärtigen Staat auf Beschluss der Bundesregierung im Ausland oder außerhalb des deutschen Hoheitsgebietes auf Schiffen oder in Luftfahrzeugen stattfindet, oder eine Verwendung im Ausland oder außerhalb des deutschen Hoheitsgebietes auf Schiffen oder in Luftfahrzeugen mit vergleichbar gesteigerter Gefährdungslage. Die besondere Verwendung im Ausland beginnt mit dem Eintreffen im Einsatzgebiet und endet mit dem Verlassen des Einsatzgebietes.</w:t>
      </w:r>
    </w:p>
    <w:p>
      <w:r>
        <w:t xml:space="preserve">(2) Gleiches gilt, wenn bei einer Beamtin oder bei einem Beamten eine Erkrankung oder ihre Folgen oder ein Unfall auf gesundheitsschädigende oder sonst vom Inland wesentlich abweichende Verhältnisse bei einer Verwendung im Sinne des Absatzes 1 zurückzuführen sind oder wenn eine gesundheitliche Schädigung bei dienstlicher Verwendung im Ausland auf einen Unfall oder eine Erkrankung im Zusammenhang mit einer Verschleppung oder einer Gefangenschaft zurückzuführen ist oder darauf beruht, dass die Beamtin oder der Beamte aus sonstigen mit dem Dienst zusammenhängenden Gründen dem Einflussbereich des Dienstherrn entzogen ist.</w:t>
      </w:r>
    </w:p>
    <w:p>
      <w:r>
        <w:t xml:space="preserve">(3) § 45 Absatz 5 gilt entsprechend.</w:t>
      </w:r>
    </w:p>
    <w:p>
      <w:r>
        <w:t xml:space="preserve">(4) Die Unfallfürsorge ist ausgeschlossen, wenn sich die Beamtin oder der Beamte vorsätzlich oder grob fahrlässig der Gefährdung ausgesetzt oder die Gründe für eine Verschleppung, Gefangenschaft oder sonstige Einflussbereichsentziehung herbeigeführt hat, es sei denn, dass der Ausschluss für sie oder für ihn eine unbillige Härte wäre.</w:t>
      </w:r>
    </w:p>
    <w:p>
      <w:r>
        <w:rPr>
          <w:color w:val="555555"/>
          <w:sz w:val="17"/>
        </w:rPr>
        <w:t xml:space="preserve">Zitiervorschlag: § 46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https://recht.nulegal.eu/gesetze/BbgBeamtVG/46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