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BbgBeamtVG (Brandenburg) — Witwen- und Witwerabfindung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Witwen, Witwer, die hinterbliebene eingetragene Lebenspartnerin oder der hinterbliebene eingetragene Lebenspartner mit Anspruch auf Witwen- oder Witwergeld oder auf einen Unterhaltsbeitrag erhalten in den Fällen einer Wiederverheiratung oder einer Neubegründung einer eingetragenen Lebenspartnerschaft eine Witwen- und Witwerabfindung.</w:t>
      </w:r>
    </w:p>
    <w:p>
      <w:r>
        <w:t xml:space="preserve">(2) Die Witwen- und Witwerabfindung beträgt das 24fache des für den Monat der Wiederverheiratung oder der Neubegründung einer eingetragenen Lebenspartnerschaft nach Anwendung der Anrechnungs-, Kürzungs- und Ruhensvorschriften zu zahlenden Betrags des Witwen- oder Witwergeldes oder des Unterhaltsbeitrags; eine Kürzung nach § 40 und die Anwendung der §§ 74 und 75 Absatz 1 Satz 1 Nummer 3 bleiben jedoch außer Betracht. Die Abfindung ist in einer Summe zu zahlen.</w:t>
      </w:r>
    </w:p>
    <w:p>
      <w:r>
        <w:rPr>
          <w:color w:val="555555"/>
          <w:sz w:val="17"/>
        </w:rPr>
        <w:t xml:space="preserve">Zitiervorschlag: § 36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