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BbgBeamtVG (Brandenburg) — Arten der Hinterbliebenenversorgung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Hinterbliebenenversorgung umfasst</w:t>
      </w:r>
    </w:p>
    <w:p>
      <w:r>
        <w:t xml:space="preserve">Bezüge für den Sterbemonat (§ 32),</w:t>
      </w:r>
    </w:p>
    <w:p>
      <w:r>
        <w:t xml:space="preserve">Sterbegeld (§ 33),</w:t>
      </w:r>
    </w:p>
    <w:p>
      <w:r>
        <w:t xml:space="preserve">Witwen- und Witwergeld (§ 34),</w:t>
      </w:r>
    </w:p>
    <w:p>
      <w:r>
        <w:t xml:space="preserve">Witwen- und Witwerabfindung (§ 36),</w:t>
      </w:r>
    </w:p>
    <w:p>
      <w:r>
        <w:t xml:space="preserve">Waisengeld (§ 38),</w:t>
      </w:r>
    </w:p>
    <w:p>
      <w:r>
        <w:t xml:space="preserve">Unterhaltsbeiträge (§§ 37 und 41).</w:t>
      </w:r>
    </w:p>
    <w:p>
      <w:r>
        <w:rPr>
          <w:color w:val="555555"/>
          <w:sz w:val="17"/>
        </w:rPr>
        <w:t xml:space="preserve">Zitiervorschlag: § 31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