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BbgBeamtVG (Brandenburg) — Versorgungsurheberinnen und Versorgungsurheber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Versorgungsurheberinnen und Versorgungsurheber für die in diesem Unterabschnitt geregelten Ansprüche sind, soweit nichts anderes bestimmt ist,</w:t>
      </w:r>
    </w:p>
    <w:p>
      <w:r>
        <w:t xml:space="preserve">verstorbene Beamtinnen und Beamte auf Lebenszeit und auf Zeit, die die Voraussetzungen des § 12 Absatz 1 erfüllt haben,</w:t>
      </w:r>
    </w:p>
    <w:p>
      <w:r>
        <w:t xml:space="preserve">verstorbene Ruhestandsbeamtinnen und Ruhestandsbeamte sowie</w:t>
      </w:r>
    </w:p>
    <w:p>
      <w:r>
        <w:t xml:space="preserve">verstorbene Beamtinnen und Beamte auf Probe, die an den Folgen einer Dienstbeschädigung (§ 28 Absatz 1 des Beamtenstatusgesetzes) verstorben sind oder denen die Entscheidung über die Versetzung in den Ruhestand wegen Dienstunfähigkeit (§ 28 Absatz 2 des Beamtenstatusgesetzes) zugestellt war.</w:t>
      </w:r>
    </w:p>
    <w:p>
      <w:r>
        <w:rPr>
          <w:color w:val="555555"/>
          <w:sz w:val="17"/>
        </w:rPr>
        <w:t xml:space="preserve">Zitiervorschlag: § 30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