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BbgBeamtVG (Brandenburg) — Vorübergehende Erhöhung des Ruhegehaltssatzes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nach § 25 Absatz 1, § 27 Absatz 2 und § 55 Absatz 3 Satz 1 berechnete Ruhegehaltssatz erhöht sich vorübergehend, wenn die Beamtin oder der Beamte vor Erreichen der Altersgrenzen nach § 45 Absatz 1 oder § 123 Absatz 6 des Landesbeamtengesetzes in den Ruhestand getreten oder versetzt worden ist und</w:t>
      </w:r>
    </w:p>
    <w:p>
      <w:r>
        <w:t xml:space="preserve">bis zum Beginn des Ruhestandes die allgemeine Wartezeit von fünf Jahren für eine Rente der gesetzlichen Rentenversicherung erfüllt war,</w:t>
      </w:r>
    </w:p>
    <w:p>
      <w:r>
        <w:t xml:space="preserve">die Beamtin oder der Beamte</w:t>
      </w:r>
    </w:p>
    <w:p>
      <w:r>
        <w:t xml:space="preserve">wegen Dienstunfähigkeit im Sinne des § 26 Absatz 1 des Beamtenstatusgesetzes in den Ruhestand versetzt worden ist,</w:t>
      </w:r>
    </w:p>
    <w:p>
      <w:r>
        <w:t xml:space="preserve">wegen Erreichens einer besonderen Altersgrenze in den Ruhestand getreten ist oder</w:t>
      </w:r>
    </w:p>
    <w:p>
      <w:r>
        <w:t xml:space="preserve">vor Erreichen einer besonderen Altersgrenze auf Antrag in den Ruhestand getreten ist, ab dem Zeitpunkt, zu dem sie oder er wegen Erreichens einer besonderen Altersgrenze in den Ruhestand getreten wäre,</w:t>
      </w:r>
    </w:p>
    <w:p>
      <w:r>
        <w:t xml:space="preserve">einen Ruhegehaltssatz von 66,97 Prozent noch nicht erreicht hat und</w:t>
      </w:r>
    </w:p>
    <w:p>
      <w:r>
        <w:t xml:space="preserve">keine Einkünfte im Sinne des § 74 Absatz 5 bezieht; Einkünfte bleiben außer Betracht, soweit sie durchschnittlich im Monat 606,67 Euro nicht überschreiten; für den Monat November ist dieser Betrag um den jeweils zustehenden Betrag nach § 48b des Brandenburgischen Besoldungsgesetzes zu erhöhen.</w:t>
      </w:r>
    </w:p>
    <w:p>
      <w:r>
        <w:t xml:space="preserve">(2) Die Erhöhung des Ruhegehaltssatzes beträgt 0,95667 Prozent der ruhegehaltfähigen Dienstbezüge für je zwölf Kalendermonate der für die Erfüllung der Wartezeit (Absatz 1 Nummer 1) anrechnungsfähigen Pflichtbeitragszeiten, soweit sie vor Begründung des Beamtenverhältnisses zurückgelegt worden sind; unberücksichtigt bleiben Pflichtbeitragszeiten,</w:t>
      </w:r>
    </w:p>
    <w:p>
      <w:r>
        <w:t xml:space="preserve">die von § 73 Absatz 1 erfasst werden oder</w:t>
      </w:r>
    </w:p>
    <w:p>
      <w:r>
        <w:t xml:space="preserve">die als ruhegehaltfähig berücksichtigt worden sind.</w:t>
      </w:r>
    </w:p>
    <w:p>
      <w:r>
        <w:t xml:space="preserve">Der hiernach berechnete Ruhegehaltssatz darf 66,97 Prozent nicht überschreiten. In den Fällen des § 25 Absatz 2 ist das Ruhegehalt, das sich nach Anwendung der Sätze 1 und 2 ergibt, entsprechend zu vermindern. Für die Berechnung nach Satz 1 sind verbleibende Kalendermonate unter Benutzung des Nenners 12 umzurechnen. § 10 gilt entsprechend.</w:t>
      </w:r>
    </w:p>
    <w:p>
      <w:r>
        <w:t xml:space="preserve">(3) Die Erhöhung fällt spätestens mit Ablauf des Monats weg, in dem die Ruhestandsbeamtin oder der Ruhestandsbeamte die maßgebliche Regelaltersgrenze nach § 35 oder § 235 des Sechsten Buches Sozialgesetzbuch erreicht. Sie endet vorher, wenn die Ruhestandsbeamtin oder der Ruhestandsbeamte</w:t>
      </w:r>
    </w:p>
    <w:p>
      <w:r>
        <w:t xml:space="preserve">eine Versichertenrente der gesetzlichen Rentenversicherung bezieht, mit Ablauf des Tages vor dem Beginn der Rente oder</w:t>
      </w:r>
    </w:p>
    <w:p>
      <w:r>
        <w:t xml:space="preserve">in den Fällen des Absatzes 1 Nummer 2 Buchstabe a nicht mehr dienstunfähig ist, mit Ablauf des Monats, in dem ihr oder ihm der Wegfall der Erhöhung mitgeteilt wird, oder</w:t>
      </w:r>
    </w:p>
    <w:p>
      <w:r>
        <w:t xml:space="preserve">ein Erwerbseinkommen bezieht, mit Ablauf des Tages vor dem Beginn der Erwerbstätigkeit.</w:t>
      </w:r>
    </w:p>
    <w:p>
      <w:r>
        <w:t xml:space="preserve">§ 9 Absatz 2 Satz 1 Nummer 2 gilt sinngemäß.</w:t>
      </w:r>
    </w:p>
    <w:p>
      <w:r>
        <w:rPr>
          <w:color w:val="555555"/>
          <w:sz w:val="17"/>
        </w:rPr>
        <w:t xml:space="preserve">Zitiervorschlag: § 26 BbgBeamtVG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