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BbgBeamtVG (Brandenburg) — Zurechnungszeit und Zeit gesundheitsschädigender Verwendung</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Ist die Beamtin oder der Beamte vor Vollendung des 60. Lebensjahres wegen Dienstunfähigkeit in den Ruhestand versetzt worden, wird die Zeit von der Versetzung in den Ruhestand bis zum Ablauf des Monats der Vollendung des 60. Lebensjahres für die Berechnung des Ruhegehalts der ruhegehaltfähigen Dienstzeit zu zwei Dritteln hinzugerechnet, soweit sie nicht nach anderen Vorschriften als ruhegehaltfähig berücksichtigt wird (Zurechnungszeit). Ist die Beamtin oder der Beamte nach § 29 des Beamtenstatusgesetzes erneut in das Beamtenverhältnis berufen worden, so wird eine der Berechnung des früheren Ruhegehalts zugrunde gelegene Zurechnungszeit insoweit berücksichtigt, als die Zahl der dem neuen Ruhegehalt zugrunde liegenden Dienstjahre hinter der Zahl der dem früheren Ruhegehalt zugrunde gelegenen Dienstjahre zurückbleibt.</w:t>
      </w:r>
    </w:p>
    <w:p>
      <w:r>
        <w:t xml:space="preserve">(2) Die Zeit der Verwendung einer Beamtin oder eines Beamten in Ländern, in denen sie oder er gesundheitsschädigenden klimatischen Einflüssen ausgesetzt war, kann bis zum Doppelten als ruhegehaltfähige Dienstzeit berücksichtigt werden, wenn sie ununterbrochen mindestens ein Jahr gedauert hat. Entsprechendes gilt für Beurlaubungen, wenn die Tätigkeit in den in Satz 1 genannten Gebieten öffentlichen Belangen oder dienstlichen Interessen diente und dies spätestens bei Beendigung des Urlaubs anerkannt worden ist.</w:t>
      </w:r>
    </w:p>
    <w:p>
      <w:r>
        <w:t xml:space="preserve">(3) Sind sowohl die Voraussetzungen des Absatzes 1 als auch die des Absatzes 2 erfüllt, findet die günstigere Vorschrift Anwendung.</w:t>
      </w:r>
    </w:p>
    <w:p>
      <w:r>
        <w:t xml:space="preserve">(4) Zeiten einer besonderen Verwendung im Ausland nach § 46 Absatz 1 Satz 2 können bis zum Doppelten als ruhegehaltfähige Dienstzeit berücksichtigt werden, wenn sie insgesamt mindestens 180 Tage und einzeln ununterbrochen mindestens 30 Tage gedauert haben.</w:t>
      </w:r>
    </w:p>
    <w:p>
      <w:r>
        <w:rPr>
          <w:color w:val="555555"/>
          <w:sz w:val="17"/>
        </w:rPr>
        <w:t xml:space="preserve">Zitiervorschlag: § 22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