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BbgBeamtVG (Brandenburg) — Sonstige Zeiten</w:t>
      </w:r>
    </w:p>
    <w:p>
      <w:r>
        <w:rPr>
          <w:color w:val="555555"/>
          <w:sz w:val="18"/>
        </w:rPr>
        <w:t xml:space="preserve">Brandenburgisches Beamtenversorgungsgesetz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Zeit, während der eine Beamtin oder ein Beamter vor der Berufung in das Beamtenverhältnis</w:t>
      </w:r>
    </w:p>
    <w:p>
      <w:r>
        <w:t xml:space="preserve">hauptberuflich</w:t>
      </w:r>
    </w:p>
    <w:p>
      <w:r>
        <w:t xml:space="preserve">im Dienst öffentlich-rechtlicher Religionsgemeinschaften oder ihrer Verbände (Artikel 140 des Grundgesetzes) oder</w:t>
      </w:r>
    </w:p>
    <w:p>
      <w:r>
        <w:t xml:space="preserve">im öffentlichen oder nichtöffentlichen Schuldienst oder</w:t>
      </w:r>
    </w:p>
    <w:p>
      <w:r>
        <w:t xml:space="preserve">im Dienst der Fraktionen des Bundestages oder der Landtage oder kommunaler Vertretungskörperschaften oder</w:t>
      </w:r>
    </w:p>
    <w:p>
      <w:r>
        <w:t xml:space="preserve">im Dienst von kommunalen Spitzenverbänden oder ihren Landesverbänden sowie von Spitzenverbänden der Sozialversicherung oder ihren Landesverbänden oder</w:t>
      </w:r>
    </w:p>
    <w:p>
      <w:r>
        <w:t xml:space="preserve">im ausländischen öffentlichen Dienst</w:t>
      </w:r>
    </w:p>
    <w:p>
      <w:r>
        <w:t xml:space="preserve">tätig gewesen ist oder</w:t>
      </w:r>
    </w:p>
    <w:p>
      <w:r>
        <w:t xml:space="preserve">auf wissenschaftlichem, künstlerischem, technischem oder wirtschaftlichem Gebiet besondere Fachkenntnisse erworben hat, die die notwendige Voraussetzung für die Wahrnehmung ihres oder seines Amtes bilden, oder</w:t>
      </w:r>
    </w:p>
    <w:p>
      <w:r>
        <w:t xml:space="preserve">als Entwicklungshelferin oder als Entwicklungshelfer im Sinne des Entwicklungshelfer-Gesetzes tätig gewesen ist,</w:t>
      </w:r>
    </w:p>
    <w:p>
      <w:r>
        <w:t xml:space="preserve">kann als ruhegehaltfähige Dienstzeit berücksichtigt werden, soweit zusammen mit Zeiten nach § 17 fünf Jahre nicht überschritten werden.</w:t>
      </w:r>
    </w:p>
    <w:p>
      <w:r>
        <w:t xml:space="preserve">(2) In den Fällen des Absatzes 1 Nummer 1 werden nur Zeiten berücksichtigt, sofern ein innerer Zusammenhang zwischen dieser Tätigkeit und dem ersten im Beamten- oder Richterverhältnis übertragenen Amt besteht.</w:t>
      </w:r>
    </w:p>
    <w:p>
      <w:r>
        <w:rPr>
          <w:color w:val="555555"/>
          <w:sz w:val="17"/>
        </w:rPr>
        <w:t xml:space="preserve">Zitiervorschlag: § 18 BbgBeamtVG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https://recht.nulegal.eu/gesetze/BbgBeamtVG/18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