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BbgBeamtVG (Brandenburg) — Entstehen und Berechnung des Ruhegehalts</w:t>
      </w:r>
    </w:p>
    <w:p>
      <w:r>
        <w:rPr>
          <w:color w:val="555555"/>
          <w:sz w:val="18"/>
        </w:rPr>
        <w:t xml:space="preserve">Brandenburgisches Beamtenversorgungsgesetz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Ein Ruhegehalt wird nur gewährt, wenn die Beamtin oder der Beamte</w:t>
      </w:r>
    </w:p>
    <w:p>
      <w:r>
        <w:t xml:space="preserve">eine Dienstzeit von mindestens fünf Jahren abgeleistet hat oder</w:t>
      </w:r>
    </w:p>
    <w:p>
      <w:r>
        <w:t xml:space="preserve">infolge Krankheit, Verwundung oder sonstiger Beschädigung, die sie oder er sich ohne grobes Verschulden bei Ausübung oder aus Veranlassung des Dienstes zugezogen hat, dienstunfähig geworden ist.</w:t>
      </w:r>
    </w:p>
    <w:p>
      <w:r>
        <w:t xml:space="preserve">Die Dienstzeit wird ab dem Zeitpunkt der ersten Berufung in das Beamtenverhältnis gerechnet und nur berücksichtigt, sofern sie ruhegehaltfähig ist; § 23 Absatz 1 ist insoweit nicht anzuwenden. Zeiten, die kraft gesetzlicher Vorschrift als ruhegehaltfähig gelten oder nach § 17 als ruhegehaltfähige Dienstzeit berücksichtigt werden, sind einzurechnen; Satz 2 zweiter Halbsatz gilt entsprechend. Satz 3 gilt nicht für Zeiten, die die Beamtin oder der Beamte vor dem 3. Oktober 1990 in dem in Artikel 3 des Einigungsvertrages genannten Gebiet zurückgelegt hat.</w:t>
      </w:r>
    </w:p>
    <w:p>
      <w:r>
        <w:t xml:space="preserve">(2) Der Anspruch auf Ruhegehalt entsteht mit dem Beginn des Ruhestands, in den Fällen des § 4 des Brandenburgischen Besoldungsgesetzes nach Ablauf der Zeit, für die Dienstbezüge gewährt werden.</w:t>
      </w:r>
    </w:p>
    <w:p>
      <w:r>
        <w:t xml:space="preserve">(3) Das Ruhegehalt wird auf der Grundlage der ruhegehaltfähigen Dienstbezüge und der ruhegehaltfähigen Dienstzeit berechnet.</w:t>
      </w:r>
    </w:p>
    <w:p>
      <w:r>
        <w:rPr>
          <w:color w:val="555555"/>
          <w:sz w:val="17"/>
        </w:rPr>
        <w:t xml:space="preserve">Zitiervorschlag: § 12 BbgBeamtVG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https://recht.nulegal.eu/gesetze/BbgBeamtVG/12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