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BbgBeBauV (Brandenburg) — Notwendige Flure</w:t>
      </w:r>
    </w:p>
    <w:p>
      <w:r>
        <w:rPr>
          <w:color w:val="555555"/>
          <w:sz w:val="18"/>
        </w:rPr>
        <w:t xml:space="preserve">Brandenburgische Beherbergungsstättenbau-Verordnung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§ 36 Absatz 1 Satz 2 Nummer 3 der Brandenburgischen Bauordnung ist nicht anzuwenden.</w:t>
      </w:r>
    </w:p>
    <w:p>
      <w:r>
        <w:t xml:space="preserve">(2) In notwendigen Fluren müssen Bekleidungen, Unterdecken und Dämmstoffe aus nichtbrennbaren Baustoffen bestehen. Bodenbeläge müssen aus mindestens schwerentflammbaren Baustoffen bestehen.</w:t>
      </w:r>
    </w:p>
    <w:p>
      <w:r>
        <w:t xml:space="preserve">(3) In notwendigen Fluren mit nur einer Fluchtrichtung (Stichfluren) darf die Entfernung zwischen Türen von Beherbergungsräumen und notwendigen Treppenräumen oder Ausgängen ins Freie nicht länger als 15 Meter sein.</w:t>
      </w:r>
    </w:p>
    <w:p>
      <w:r>
        <w:t xml:space="preserve">(4) Stufen in notwendigen Fluren müssen beleuchtet sein.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BbgBeBauV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https://recht.nulegal.eu/gesetze/BbgBeBauV/6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BbgBeBauV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