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BbgBeBauV (Brandenburg) — Trennwände</w:t>
      </w:r>
    </w:p>
    <w:p>
      <w:r>
        <w:rPr>
          <w:color w:val="555555"/>
          <w:sz w:val="18"/>
        </w:rPr>
        <w:t xml:space="preserve">Brandenburgische Beherbergungsstättenbau-Verordnung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Trennwände müssen feuerbeständig sein</w:t>
      </w:r>
    </w:p>
    <w:p>
      <w:r>
        <w:t xml:space="preserve">zwischen Räumen einer Beherbergungsstätte und Räumen, die nicht zu der Beherbergungsstätte gehören, sowie</w:t>
      </w:r>
    </w:p>
    <w:p>
      <w:r>
        <w:t xml:space="preserve">zwischen Beherbergungsräumen und</w:t>
      </w:r>
    </w:p>
    <w:p>
      <w:r>
        <w:t xml:space="preserve">Gasträumen,</w:t>
      </w:r>
    </w:p>
    <w:p>
      <w:r>
        <w:t xml:space="preserve">Küchen.</w:t>
      </w:r>
    </w:p>
    <w:p>
      <w:r>
        <w:t xml:space="preserve">Soweit in Beherbergungsstätten die tragenden Wände, Stützen und Decken nur feuerhemmend zu sein brauchen, genügen feuerhemmende Trennwände.</w:t>
      </w:r>
    </w:p>
    <w:p>
      <w:r>
        <w:t xml:space="preserve">(2) Trennwände zwischen Beherbergungsräumen sowie zwischen Beherbergungsräumen und sonstigen Räumen müssen feuerhemmend sein.</w:t>
      </w:r>
    </w:p>
    <w:p>
      <w:r>
        <w:t xml:space="preserve">(3) In Trennwänden nach Absatz 1 Satz 1 Nummer 2 und nach Absatz 2 sind Öffnungen unzulässig. Öffnungen in Trennwänden nach Absatz 1 Satz 1 Nummer 1 müssen feuerhemmende Feuerschutzabschlüsse haben, die auch die Anforderungen an Rauchschutzabschlüsse erfüllen.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5 BbgBeBauV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https://recht.nulegal.eu/gesetze/BbgBeBauV/5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