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BbgBeBauV (Brandenburg) — Inkrafttreten, Außerkrafttreten</w:t>
      </w:r>
    </w:p>
    <w:p>
      <w:r>
        <w:rPr>
          <w:color w:val="555555"/>
          <w:sz w:val="18"/>
        </w:rPr>
        <w:t xml:space="preserve">Brandenburgische Beherbergungsstättenbau-Verordnung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 Gleichzeitig tritt die Beherbergungsstättenbau-Verordnung vom 15. Juni 2001 ( GVBl. II S. 216), die durch Artikel 4 der Verordnung vom 23. März 2005 (GVBl. II S. 159) geändert worden ist, außer Kraft.</w:t>
      </w:r>
    </w:p>
    <w:p>
      <w:r>
        <w:t xml:space="preserve">Einzelnorm</w:t>
      </w:r>
    </w:p>
    <w:p>
      <w:r>
        <w:t xml:space="preserve">Potsdam, den 8. November 2017</w:t>
      </w:r>
    </w:p>
    <w:p>
      <w:r>
        <w:t xml:space="preserve">Die Ministerin für Infrastruktur und Landesplanung</w:t>
      </w:r>
    </w:p>
    <w:p>
      <w:r>
        <w:t xml:space="preserve">Kathrin Schneider</w:t>
      </w:r>
    </w:p>
    <w:p>
      <w:r>
        <w:t xml:space="preserve">________________________</w:t>
      </w:r>
    </w:p>
    <w:p>
      <w:r>
        <w:t xml:space="preserve">*) Diese Verordnung dient der Umsetzung der Richtlinie ( EU ) 2015/1535 des Europäischen Parlaments und des Rates vom 9. September 2015 über ein Informationsverfahren auf dem Gebiet der technischen Vorschriften und der Vorschriften für die Dienste der Informationsgesellschaft ( ABl. L 241 vom 17.09.2015, S. 1).</w:t>
      </w:r>
    </w:p>
    <w:p>
      <w:r>
        <w:rPr>
          <w:color w:val="555555"/>
          <w:sz w:val="17"/>
        </w:rPr>
        <w:t xml:space="preserve">Zitiervorschlag: § 16 BbgBeBauV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https://recht.nulegal.eu/gesetze/BbgBeBauV/16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BbgBeBauV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