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BbgBeBauV (Brandenburg) — Anwendung der Vorschriften auf bestehende Beherbergungsstätten</w:t>
      </w:r>
    </w:p>
    <w:p>
      <w:r>
        <w:rPr>
          <w:color w:val="555555"/>
          <w:sz w:val="18"/>
        </w:rPr>
        <w:t xml:space="preserve">Brandenburgische Beherbergungsstättenbau-Verordnung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Auf die zum Zeitpunkt des Inkrafttretens dieser Verordnung bestehenden Beherbergungsstätten sind die Vorschriften des § 12 anzuwenden.</w:t>
      </w:r>
    </w:p>
    <w:p>
      <w:r>
        <w:t xml:space="preserve">(2) Die zum Zeitpunkt des Inkrafttretens dieser Verordnung bestehenden Beherbergungsstätten sind in Anlehnung an § 48 Absatz 4 Satz 3 der Brandenburgischen Bauordnung bis 31. Dezember 2020 an die Vorschriften des § 9 Absatz 2 anzupassen.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14 BbgBeBauV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https://recht.nulegal.eu/gesetze/BbgBeBauV/14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