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BbgBauGebO (Brandenburg) — Inkrafttreten, Außerkrafttreten</w:t>
      </w:r>
    </w:p>
    <w:p>
      <w:r>
        <w:rPr>
          <w:color w:val="555555"/>
          <w:sz w:val="18"/>
        </w:rPr>
        <w:t xml:space="preserve">Brandenburgische Baugebührenordnung</w:t>
      </w:r>
    </w:p>
    <w:p>
      <w:r>
        <w:rPr>
          <w:color w:val="555555"/>
          <w:sz w:val="18"/>
        </w:rPr>
        <w:t xml:space="preserve">Landesrecht Brandenburg</w:t>
      </w:r>
    </w:p>
    <w:p>
      <w:r>
        <w:rPr>
          <w:color w:val="555555"/>
          <w:sz w:val="18"/>
        </w:rPr>
        <w:t xml:space="preserve">Stand: 01.09.2026 (konsolidierte Textfassung, kein amtliches Inkrafttretensdatum)</w:t>
      </w:r>
    </w:p>
    <w:p>
      <w:r>
        <w:t xml:space="preserve">Diese Verordnung tritt am 1. November 2009 in Kraft. Gleichzei tig tritt die Brandenburgische Baugebührenordnung vom 1. September 2003 (GVBl. II S. 524), die zuletzt durch Verordnung vom 26. September 2007 (GVBl. II S. 424) geändert worden ist, außer Kraft.</w:t>
      </w:r>
    </w:p>
    <w:p>
      <w:r>
        <w:t xml:space="preserve">Potsdam, den 20. August 2009</w:t>
      </w:r>
    </w:p>
    <w:p>
      <w:r>
        <w:t xml:space="preserve">Der Minister für Infrastruktur und Raumordnung</w:t>
      </w:r>
    </w:p>
    <w:p>
      <w:r>
        <w:t xml:space="preserve">Reinhold Dellmann</w:t>
      </w:r>
    </w:p>
    <w:p>
      <w:r>
        <w:rPr>
          <w:color w:val="555555"/>
          <w:sz w:val="17"/>
        </w:rPr>
        <w:t xml:space="preserve">Zitiervorschlag: § 6 BbgBauGebO (Brandenburg)</w:t>
      </w:r>
    </w:p>
    <w:p>
      <w:r>
        <w:rPr>
          <w:color w:val="555555"/>
          <w:sz w:val="17"/>
        </w:rPr>
        <w:t xml:space="preserve">Quelle: bravors, abgerufen 01.09.2026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https://recht.nulegal.eu/gesetze/BbgBauGebO/6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