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BbgBauGebO (Brandenburg) — Bauwerksklasse</w:t>
      </w:r>
    </w:p>
    <w:p>
      <w:r>
        <w:rPr>
          <w:color w:val="555555"/>
          <w:sz w:val="18"/>
        </w:rPr>
        <w:t xml:space="preserve">Brandenburgische Baugebührenordnung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Berechnung der Gebühr für die Prüfung bautechnischer Nachweise ist die bauliche Anlage in die dem Schwierigkeitsgrad entsprechende Bauwerksklasse (Anlage 4) einzustufen.</w:t>
      </w:r>
    </w:p>
    <w:p>
      <w:r>
        <w:t xml:space="preserve">(2) Besteht eine bauliche Anlage aus Bauteilen unterschiedlicher Schwierigkeitsgrade, so ist die bauliche Anlage in die Bauwerksklasse einzustufen, auf die sich der überwiegende Prüfaufwand erstreckt.</w:t>
      </w:r>
    </w:p>
    <w:p>
      <w:r>
        <w:rPr>
          <w:color w:val="555555"/>
          <w:sz w:val="17"/>
        </w:rPr>
        <w:t xml:space="preserve">Zitiervorschlag: § 4 BbgBauGebO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https://recht.nulegal.eu/gesetze/BbgBauGebO/4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