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BbgBauGebO (Brandenburg) — Anrechenbarer Bauwert</w:t>
      </w:r>
    </w:p>
    <w:p>
      <w:r>
        <w:rPr>
          <w:color w:val="555555"/>
          <w:sz w:val="18"/>
        </w:rPr>
        <w:t xml:space="preserve">Brandenburgische Baugebührenordnung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in der Anlage 2 aufgeführten baulichen Anlagen sind die anrechenbaren Bauwerte aus dem Brutto-Rauminhalt der baulichen Anlage, vervielfältigt mit dem jeweils angegebenen Wert je Kubikmeter Brutto-Rauminhalt, zu berechnen. Die anrechenbaren Bauwerte der Anlage 2 basieren auf der Indexzahl 1,000 für das jeweils vom Statistischen Bundesamt veröffentlichte Basisjahr . Für die folgenden Jahre sind die dort angegebenen anrechenbaren Bauwerte jährlich mit einer Indexzahl zu vervielfältigen, die sich aus dem arithmetischen Mittel der vom Statistischen Bundesamt ermittelten Preisindizes für Bauleistungen am Bauwerk für den Neubau von Wohngebäuden, Bürogebäuden und gewerblichen Betriebsgebäuden errechnet; maßgeblich sind die jeweiligen Baupreisindizes des Vorjahres ohne Umsatzsteuer. Sie sind auf volle Euro ab- oder aufzurunden. Die fortgeschriebenen anrechenbaren Bauwerte gelten jeweils ab dem 1. Juni jedes Jahres. Die oberste Bauaufsichtsbehörde veröffentlicht jährlich den aktuellen Baupreisindex und die fortgeschriebenen anrechenbaren Bauwerte. Der Brutto-Rauminhalt ist nach DIN 277-1:2005-2 (Anlage 3) zu berechnen. Bei Gebäuden mit gemischter Nutzung sind für die Gebäudeteile mit verschiedenen Nutzungsarten die anrechenbaren Bauwerte anteilig zu ermitteln. Bei baulichen Änderungen, wie Um- und Anbauten oder Aufstockungen, sind nur für die betroffenen Gebäudeteile die anrechenbaren Bauwerte zu ermitteln. Traggerüste und Baugruben, für deren Sicherung Standsicherheitsnachweise zu prüfen sind, gelten als gesonderte bauliche Anlagen.</w:t>
      </w:r>
    </w:p>
    <w:p>
      <w:r>
        <w:t xml:space="preserve">(2) Für die nicht in der Tabelle der anrechenbaren Bauwerte genannten Gebäude, für Gebäude oder Gebäudeteile, deren anrechenbarer Bauwert nicht ermittelbar ist, und für Fliegende Bauten sind als fiktive anrechenbare Bauwerte 50 Prozent der Herstellungskosten anzusetzen. Für sonstige bauliche Anlagen sind als fiktive anrechenbare Bauwerte 60 Prozent der Herstellungskosten anzusetzen. Werden die Kosten einer sonstigen baulichen Anlage maßgeblich von einer maschinentechnischen Ausstattung bestimmt, die selbst keiner baurechtlichen Prüfung unterliegt, sind als fiktive anrechenbare Bauwerte 40 Prozent der Herstellungskosten anzusetzen.</w:t>
      </w:r>
    </w:p>
    <w:p>
      <w:r>
        <w:t xml:space="preserve">(3) Die Herstellungskosten einer baulichen Anlage umfassen die annähernd ermittelten Kosten sämtlicher Bauleistungen und Lieferungen einschließlich der Kosten für Architekten- und Ingenieurleistungen, der Umsatzsteuer sowie etwaiger Eigenleistungen, die voraussichtlich zum Zeitpunkt der Entscheidung über die Genehmigung für die Herstellung oder Änderung erforderlich sein werden. Eigenleistungen sind mit den ortsüblichen Löhnen, Eigenlieferungen mit den ortsüblichen Baustoffpreisen einschließlich der Umsatzsteuer anzusetzen. Bei Umbauten sind auch die Kosten von Abbrucharbeiten zu berücksichti gen. Die Herstellungskosten sind nach DIN 276:2018-12 * zu ermitteln. Der Kostenermittlung sind die Kostengruppen 300 Bauwerk – Baukonstruktionen, 400 Bauwerk – Technische Anlagen, 500 Außenanlagen und Freiflächen, 730 Objektplanung und 740 Fachplanung zugrunde zu legen.</w:t>
      </w:r>
    </w:p>
    <w:p>
      <w:r>
        <w:t xml:space="preserve">(4) Der anrechenbare Bauwert ist jeweils auf volle 1 000 Euro aufzurunden.</w:t>
      </w:r>
    </w:p>
    <w:p>
      <w:r>
        <w:rPr>
          <w:color w:val="555555"/>
          <w:sz w:val="17"/>
        </w:rPr>
        <w:t xml:space="preserve">Zitiervorschlag: § 3 BbgBauGebO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https://recht.nulegal.eu/gesetze/BbgBauGebO/3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