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BbgBauGebO (Brandenburg) — Kosten für Amtshandlungen</w:t>
      </w:r>
    </w:p>
    <w:p>
      <w:r>
        <w:rPr>
          <w:color w:val="555555"/>
          <w:sz w:val="18"/>
        </w:rPr>
        <w:t xml:space="preserve">Brandenburgische Baugebührenordnung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Bauaufsichtsbehörden, das Bautechnische Prüfamt, die Anerkennungsbehörde für Prüfsachverständige, die mit bauordnungsrechtlichen Angelegenheiten Beliehenen und die Bewertungs- und Verrechnungsstelle der Prüfingenieure erheben für ihre Amtshandlungen Gebühren und Auslagen nach dieser Verordnung.</w:t>
      </w:r>
    </w:p>
    <w:p>
      <w:r>
        <w:t xml:space="preserve">(2) Die amtsfreien Gemeinden, die Ämter, die Verbandsgemeinden, die mitverwalteten Gemeinden und mitverwaltende Gemeinden erheben für die Amtshandlungen Gebühren und Auslagen, für die sie auf Grund des § 58 Absatz 6 und 7 und des § 67 der Brandenburgischen Bauordnung zuständig sind.</w:t>
      </w:r>
    </w:p>
    <w:p>
      <w:r>
        <w:t xml:space="preserve">(3) Gebühren und Auslagen für Amtshandlungen der mit bauordnungsrechtlichen Angelegenheiten Beliehenen schließen die von diesen zu entrichtende Umsatzsteuer mit ein. Die Umsatzsteuer ist gesondert auszuweisen.</w:t>
      </w:r>
    </w:p>
    <w:p>
      <w:r>
        <w:t xml:space="preserve">(4) Die unter § 8 Absatz 1 Nummer 6 des Gebührengesetzes für das Land Brandenburg fallenden juristischen Personen sind von den Gebühren für die Prüfung der bautechnischen Nachweise und von den Gebühren für Vorbescheide nicht befreit.</w:t>
      </w:r>
    </w:p>
    <w:p>
      <w:r>
        <w:rPr>
          <w:color w:val="555555"/>
          <w:sz w:val="17"/>
        </w:rPr>
        <w:t xml:space="preserve">Zitiervorschlag: § 1 BbgBauGebO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https://recht.nulegal.eu/gesetze/BbgBauGebO/1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BbgBauGebO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