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BbgBauAV (Brandenburg) — Sicherheitsleistung</w:t>
      </w:r>
    </w:p>
    <w:p>
      <w:r>
        <w:rPr>
          <w:color w:val="555555"/>
          <w:sz w:val="18"/>
        </w:rPr>
        <w:t xml:space="preserve">Brandenburgische Bau-Abgrabungsverordnung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Eigentümer hat zum Zwecke der Gewährleistung</w:t>
      </w:r>
    </w:p>
    <w:p>
      <w:r>
        <w:t xml:space="preserve">der Verpflichtungen im Sinne von § 6 Abs. 1 Satz 1 vor Erteilung der</w:t>
      </w:r>
    </w:p>
    <w:p>
      <w:r>
        <w:t xml:space="preserve">Baugenehmigung Sicherheit zu leisten. Soweit anstelle des Eigentümers ein</w:t>
      </w:r>
    </w:p>
    <w:p>
      <w:r>
        <w:t xml:space="preserve">Unternehmer auf eigene Rechnung abgräbt oder aufschüttet, kann auch</w:t>
      </w:r>
    </w:p>
    <w:p>
      <w:r>
        <w:t xml:space="preserve">von ihm Sicherheit geleistet werden. Die Sicherheitsleistung haftet auch</w:t>
      </w:r>
    </w:p>
    <w:p>
      <w:r>
        <w:t xml:space="preserve">für Ersatzmaßnahmen nach § 6 Abs. 2. Die Sicherheitsleistung</w:t>
      </w:r>
    </w:p>
    <w:p>
      <w:r>
        <w:t xml:space="preserve">wird von der Bauaufsichtsbehörde auf Grund eines Gutachtens festgesetzt.</w:t>
      </w:r>
    </w:p>
    <w:p>
      <w:r>
        <w:t xml:space="preserve">Die Sicherheitsleistung kann nachträglich erhöht werden, soweit sie</w:t>
      </w:r>
    </w:p>
    <w:p>
      <w:r>
        <w:t xml:space="preserve">die Durchführung von Maßnahmen sicherstellen soll, die zur</w:t>
      </w:r>
    </w:p>
    <w:p>
      <w:r>
        <w:t xml:space="preserve">Vermeidung schwerer und unvorhersehbarer Beeinträchtigungen des</w:t>
      </w:r>
    </w:p>
    <w:p>
      <w:r>
        <w:t xml:space="preserve">Naturhaushaltes im Sinne von § 17 Abs. 1 Satz 3 des Brandenburgischen</w:t>
      </w:r>
    </w:p>
    <w:p>
      <w:r>
        <w:t xml:space="preserve">Naturschutzgesetzes notwendig sind. Die Sicherheitsleistung kann auch durch</w:t>
      </w:r>
    </w:p>
    <w:p>
      <w:r>
        <w:t xml:space="preserve">Beibringung einer selbstschuldnerischen Bürgschaft einer deutschen Bank</w:t>
      </w:r>
    </w:p>
    <w:p>
      <w:r>
        <w:t xml:space="preserve">oder Sparkasse erbracht werden.</w:t>
      </w:r>
    </w:p>
    <w:p>
      <w:r>
        <w:t xml:space="preserve">(2) Die Sicherheitsleistung kann auf einzelne Abschnitte des</w:t>
      </w:r>
    </w:p>
    <w:p>
      <w:r>
        <w:t xml:space="preserve">Vorhabens anteilsmäßig verteilt werden. Der auf einen Abschnitt des</w:t>
      </w:r>
    </w:p>
    <w:p>
      <w:r>
        <w:t xml:space="preserve">Vorhabens bezogene Anteil der Sicherheitsleistung ist freizugeben, sobald der</w:t>
      </w:r>
    </w:p>
    <w:p>
      <w:r>
        <w:t xml:space="preserve">Abschnitt entsprechend den Anforderungen des § 6 Abs. 1 Satz 1</w:t>
      </w:r>
    </w:p>
    <w:p>
      <w:r>
        <w:t xml:space="preserve">rekultiviert und renaturiert ist.</w:t>
      </w:r>
    </w:p>
    <w:p>
      <w:r>
        <w:t xml:space="preserve">(3) Bei der Bemessung der Höhe der Sicherheitsleistung</w:t>
      </w:r>
    </w:p>
    <w:p>
      <w:r>
        <w:t xml:space="preserve">ist die Höhe der Kosten für die zeitgerechte Durchführung der</w:t>
      </w:r>
    </w:p>
    <w:p>
      <w:r>
        <w:t xml:space="preserve">Rekultivierungs- oder Renaturierungsmaßnahmen anzusetzen. Dabei sind</w:t>
      </w:r>
    </w:p>
    <w:p>
      <w:r>
        <w:t xml:space="preserve">insbesondere die Kosten für</w:t>
      </w:r>
    </w:p>
    <w:p>
      <w:r>
        <w:t xml:space="preserve">die Planierungsarbeiten,</w:t>
      </w:r>
    </w:p>
    <w:p>
      <w:r>
        <w:t xml:space="preserve">die Verfüllung,</w:t>
      </w:r>
    </w:p>
    <w:p>
      <w:r>
        <w:t xml:space="preserve">die Wiederherstellung der Zufahrtswege,</w:t>
      </w:r>
    </w:p>
    <w:p>
      <w:r>
        <w:t xml:space="preserve">die Entfernung baulicher Anlagen,</w:t>
      </w:r>
    </w:p>
    <w:p>
      <w:r>
        <w:t xml:space="preserve">die Beschaffung und Aufbringung von Mutterboden,</w:t>
      </w:r>
    </w:p>
    <w:p>
      <w:r>
        <w:t xml:space="preserve">die Anlegung und Sicherung von Böschungen,</w:t>
      </w:r>
    </w:p>
    <w:p>
      <w:r>
        <w:t xml:space="preserve">die Bepflanzung nach dem Pflanzschema,</w:t>
      </w:r>
    </w:p>
    <w:p>
      <w:r>
        <w:t xml:space="preserve">die Pflege und den Schutz der Pflanzungen in einem</w:t>
      </w:r>
    </w:p>
    <w:p>
      <w:r>
        <w:t xml:space="preserve">Zeitraum von mindestens fünf Jahren</w:t>
      </w:r>
    </w:p>
    <w:p>
      <w:r>
        <w:t xml:space="preserve">zu berücksichtigen.</w:t>
      </w:r>
    </w:p>
    <w:p>
      <w:r>
        <w:t xml:space="preserve">(4) § 17 Abs. 4 des Brandenburgischen Naturschutzgesetzes</w:t>
      </w:r>
    </w:p>
    <w:p>
      <w:r>
        <w:t xml:space="preserve">bleibt unberührt.</w:t>
      </w:r>
    </w:p>
    <w:p>
      <w:r>
        <w:rPr>
          <w:color w:val="555555"/>
          <w:sz w:val="17"/>
        </w:rPr>
        <w:t xml:space="preserve">Zitiervorschlag: § 7 BbgBauAV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https://recht.nulegal.eu/gesetze/BbgBauAV/7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