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BbgBauAV (Brandenburg) — Aufschüttungsplan, Verfüllplan</w:t>
      </w:r>
    </w:p>
    <w:p>
      <w:r>
        <w:rPr>
          <w:color w:val="555555"/>
          <w:sz w:val="18"/>
        </w:rPr>
        <w:t xml:space="preserve">Brandenburgische Bau-Abgrabungsverordnung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Aufschüttungen sind in einem Aufschüttungsplan</w:t>
      </w:r>
    </w:p>
    <w:p>
      <w:r>
        <w:t xml:space="preserve">darzustellen. Er muß insbesondere Angaben enthalten über</w:t>
      </w:r>
    </w:p>
    <w:p>
      <w:r>
        <w:t xml:space="preserve">die Grundstücksgrenzen und die</w:t>
      </w:r>
    </w:p>
    <w:p>
      <w:r>
        <w:t xml:space="preserve">Aufschüttungshöhe,</w:t>
      </w:r>
    </w:p>
    <w:p>
      <w:r>
        <w:t xml:space="preserve">die Lagerung des Mutterbodens, des Aufschüttungs-</w:t>
      </w:r>
    </w:p>
    <w:p>
      <w:r>
        <w:t xml:space="preserve">und des Abraummaterials,</w:t>
      </w:r>
    </w:p>
    <w:p>
      <w:r>
        <w:t xml:space="preserve">die Art und Herkunft des zu verwendenden Materials,</w:t>
      </w:r>
    </w:p>
    <w:p>
      <w:r>
        <w:t xml:space="preserve">beabsichtigte Vorkehrungen, um auszuschließen,</w:t>
      </w:r>
    </w:p>
    <w:p>
      <w:r>
        <w:t xml:space="preserve">daß von der Verwendung des in Nummer 3 bezeichneten Materials</w:t>
      </w:r>
    </w:p>
    <w:p>
      <w:r>
        <w:t xml:space="preserve">Beeinträchtigungen für das Wohl der Allgemeinheit ausgehen, und</w:t>
      </w:r>
    </w:p>
    <w:p>
      <w:r>
        <w:t xml:space="preserve">Erforderlichkeit sowie Art und Weise des Einbaus des</w:t>
      </w:r>
    </w:p>
    <w:p>
      <w:r>
        <w:t xml:space="preserve">Materials im Rahmen der Rekultivierungsziele.</w:t>
      </w:r>
    </w:p>
    <w:p>
      <w:r>
        <w:t xml:space="preserve">§ 3 Abs. 1 Nr. 4 bis 12 und § 3 Abs. 2 sind</w:t>
      </w:r>
    </w:p>
    <w:p>
      <w:r>
        <w:t xml:space="preserve">entsprechend anzuwenden.</w:t>
      </w:r>
    </w:p>
    <w:p>
      <w:r>
        <w:t xml:space="preserve">(2) Ein Aufschüttungsplan ist nicht erforderlich, wenn</w:t>
      </w:r>
    </w:p>
    <w:p>
      <w:r>
        <w:t xml:space="preserve">die Aufschüttung auf einem für diesen Zweck genehmigten Lagerplatz</w:t>
      </w:r>
    </w:p>
    <w:p>
      <w:r>
        <w:t xml:space="preserve">vorgenommen wird. Der Aufschüttungsplan kann mit einem Abgrabungsplan</w:t>
      </w:r>
    </w:p>
    <w:p>
      <w:r>
        <w:t xml:space="preserve">verbunden werden, sofern dies für die Prüfung der Auswirkungen im</w:t>
      </w:r>
    </w:p>
    <w:p>
      <w:r>
        <w:t xml:space="preserve">Sinne von § 3 Abs. 2 Satz 1 ausreichend ist.</w:t>
      </w:r>
    </w:p>
    <w:p>
      <w:r>
        <w:t xml:space="preserve">(3) Verfüllungen von Abgrabungen sind in einem</w:t>
      </w:r>
    </w:p>
    <w:p>
      <w:r>
        <w:t xml:space="preserve">Verfüllplan nach Absatz 1 darzustellen.</w:t>
      </w:r>
    </w:p>
    <w:p>
      <w:r>
        <w:rPr>
          <w:color w:val="555555"/>
          <w:sz w:val="17"/>
        </w:rPr>
        <w:t xml:space="preserve">Zitiervorschlag: § 4 BbgBauAV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https://recht.nulegal.eu/gesetze/BbgBauAV/4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