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BbgBauAV (Brandenburg) — Bauvorlagen</w:t>
      </w:r>
    </w:p>
    <w:p>
      <w:r>
        <w:rPr>
          <w:color w:val="555555"/>
          <w:sz w:val="18"/>
        </w:rPr>
        <w:t xml:space="preserve">Brandenburgische Bau-Abgrabungsverordnung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Durchführung des Baugenehmigungsverfahrens</w:t>
      </w:r>
    </w:p>
    <w:p>
      <w:r>
        <w:t xml:space="preserve">für Abgrabungen zur gewerblichen Gewinnung von</w:t>
      </w:r>
    </w:p>
    <w:p>
      <w:r>
        <w:t xml:space="preserve">Grundeigentümerbodenschätzen sind folgende zusätzliche</w:t>
      </w:r>
    </w:p>
    <w:p>
      <w:r>
        <w:t xml:space="preserve">Bauvorlagen einzureichen:</w:t>
      </w:r>
    </w:p>
    <w:p>
      <w:r>
        <w:t xml:space="preserve">ein Übersichtsplan, auf dem auf einer Grundkarte im Maßstab 1:</w:t>
      </w:r>
    </w:p>
    <w:p>
      <w:r>
        <w:t xml:space="preserve">10000 oder 1: 5000 die Abgrabung, ihre Erschließungsanlagen sowie in</w:t>
      </w:r>
    </w:p>
    <w:p>
      <w:r>
        <w:t xml:space="preserve">ihrem Einwirkungsbereich liegende Schutzausweisungen nach dem Brandenburgischen</w:t>
      </w:r>
    </w:p>
    <w:p>
      <w:r>
        <w:t xml:space="preserve">Naturschutzgesetz oder Brandenburgischen Wassergesetz dargestellt sind,</w:t>
      </w:r>
    </w:p>
    <w:p>
      <w:r>
        <w:t xml:space="preserve">ein Abgrabungsplan im Längenmaßstab 1: 500 und mit Längs-</w:t>
      </w:r>
    </w:p>
    <w:p>
      <w:r>
        <w:t xml:space="preserve">und Querprofilen im Höhenmaßstab 1: 100, aus dem die Einzelheiten</w:t>
      </w:r>
    </w:p>
    <w:p>
      <w:r>
        <w:t xml:space="preserve">und die Auswirkungen des Vorhabens hervorgehen, mit integrierter Darstellung</w:t>
      </w:r>
    </w:p>
    <w:p>
      <w:r>
        <w:t xml:space="preserve">der zum Ausgleich des Eingriffs erforderlichen Maßnahmen des</w:t>
      </w:r>
    </w:p>
    <w:p>
      <w:r>
        <w:t xml:space="preserve">Naturschutzes und der Landschaftspflege gemäß § 18 des</w:t>
      </w:r>
    </w:p>
    <w:p>
      <w:r>
        <w:t xml:space="preserve">Brandenburgischen Naturschutzgesetzes,</w:t>
      </w:r>
    </w:p>
    <w:p>
      <w:r>
        <w:t xml:space="preserve">der Nachweis, daß die Standsicherheit der entstehenden</w:t>
      </w:r>
    </w:p>
    <w:p>
      <w:r>
        <w:t xml:space="preserve">Böschungen, insbesondere nach dem Abbau, gewährleistet ist,</w:t>
      </w:r>
    </w:p>
    <w:p>
      <w:r>
        <w:t xml:space="preserve">die geologische Darstellung des auszubeutenden Vorkommens nach Art,</w:t>
      </w:r>
    </w:p>
    <w:p>
      <w:r>
        <w:t xml:space="preserve">Qualität und Mächtigkeit mit Längs- und Querschnitten im</w:t>
      </w:r>
    </w:p>
    <w:p>
      <w:r>
        <w:t xml:space="preserve">Höhenmaßstab 1: 100 und einem geeigneten Längenmaßstab</w:t>
      </w:r>
    </w:p>
    <w:p>
      <w:r>
        <w:t xml:space="preserve">zwischen 1: 2.000 und 1: 10.000, auf der Grundlage eines Untersuchungsbohr-</w:t>
      </w:r>
    </w:p>
    <w:p>
      <w:r>
        <w:t xml:space="preserve">oder Schürfprogramms,</w:t>
      </w:r>
    </w:p>
    <w:p>
      <w:r>
        <w:t xml:space="preserve">die hydrologische Erfassung der Lage und des Schwankungsbereichs des</w:t>
      </w:r>
    </w:p>
    <w:p>
      <w:r>
        <w:t xml:space="preserve">Grundwasserstandes, des Grundwassergefälles und der</w:t>
      </w:r>
    </w:p>
    <w:p>
      <w:r>
        <w:t xml:space="preserve">Grundwasserfließrichtung im Einwirkungsbereich mit Einbindung in das</w:t>
      </w:r>
    </w:p>
    <w:p>
      <w:r>
        <w:t xml:space="preserve">Hydroisohypsenbild der Umgebung im Höhenmaßstab 1:100 und einem</w:t>
      </w:r>
    </w:p>
    <w:p>
      <w:r>
        <w:t xml:space="preserve">geeigneten Längenmaßstab zwischen 1:10.000 und 1: 25.000,</w:t>
      </w:r>
    </w:p>
    <w:p>
      <w:r>
        <w:t xml:space="preserve">die Darstellung der Geländeform im Maßstab 1: 500 mit</w:t>
      </w:r>
    </w:p>
    <w:p>
      <w:r>
        <w:t xml:space="preserve">Höhenpunkten in Abständen von 50 Metern gemäß § 1</w:t>
      </w:r>
    </w:p>
    <w:p>
      <w:r>
        <w:t xml:space="preserve">Abs. 6 der Bauvorlagenverordnung sowie der Fläche, Mächtigkeit, Menge</w:t>
      </w:r>
    </w:p>
    <w:p>
      <w:r>
        <w:t xml:space="preserve">und gegebenenfalls vorhandene Bodenbelastungen des abzutragenden Mutter- und</w:t>
      </w:r>
    </w:p>
    <w:p>
      <w:r>
        <w:t xml:space="preserve">Feinbodens vor Durchführung der Abgrabung sowie eine</w:t>
      </w:r>
    </w:p>
    <w:p>
      <w:r>
        <w:t xml:space="preserve">höhenpunktraster- und maßstabsgleiche Darstellung der</w:t>
      </w:r>
    </w:p>
    <w:p>
      <w:r>
        <w:t xml:space="preserve">Geländeform nach Beendigung der Renaturierung oder Rekultivierung,</w:t>
      </w:r>
    </w:p>
    <w:p>
      <w:r>
        <w:t xml:space="preserve">eine Massenberechnung des abzugrabenden oder aufzuschüttenden Erd-</w:t>
      </w:r>
    </w:p>
    <w:p>
      <w:r>
        <w:t xml:space="preserve">und Gesteinsmaterials,</w:t>
      </w:r>
    </w:p>
    <w:p>
      <w:r>
        <w:t xml:space="preserve">der Nachweis, daß die Erforderlichkeit eines Raumordnungsverfahrens</w:t>
      </w:r>
    </w:p>
    <w:p>
      <w:r>
        <w:t xml:space="preserve">für Vorhaben ab einer Größe von 10 Hektar oder mehr</w:t>
      </w:r>
    </w:p>
    <w:p>
      <w:r>
        <w:t xml:space="preserve">geprüft worden ist,</w:t>
      </w:r>
    </w:p>
    <w:p>
      <w:r>
        <w:t xml:space="preserve">eine amtliche Stellungnahme des Landesamtes für Geowissenschaften und</w:t>
      </w:r>
    </w:p>
    <w:p>
      <w:r>
        <w:t xml:space="preserve">Rohstoffe Brandenburg zu Nummer 4 einschließlich einer</w:t>
      </w:r>
    </w:p>
    <w:p>
      <w:r>
        <w:t xml:space="preserve">Bodenschatzeinstufung.</w:t>
      </w:r>
    </w:p>
    <w:p>
      <w:r>
        <w:t xml:space="preserve">(2) Aufschüttungen sind unbeschadet der sonstigen nach</w:t>
      </w:r>
    </w:p>
    <w:p>
      <w:r>
        <w:t xml:space="preserve">der Bauvorlagenverordnung erforderlichen Pläne, Beschreibungen und</w:t>
      </w:r>
    </w:p>
    <w:p>
      <w:r>
        <w:t xml:space="preserve">Nachweise in einem Aufschüttungsplan darzustellen, aus dem die</w:t>
      </w:r>
    </w:p>
    <w:p>
      <w:r>
        <w:t xml:space="preserve">Einzelheiten und Auswirkungen des Vorhabens hervorgehen. Absatz 1 Nr. 1 bis 3</w:t>
      </w:r>
    </w:p>
    <w:p>
      <w:r>
        <w:t xml:space="preserve">gilt entsprechend.</w:t>
      </w:r>
    </w:p>
    <w:p>
      <w:r>
        <w:t xml:space="preserve">(3) Die Bauaufsichtsbehörde kann einen anderen</w:t>
      </w:r>
    </w:p>
    <w:p>
      <w:r>
        <w:t xml:space="preserve">Maßstab verlangen oder zulassen, wenn ein solcher zur Darstellung der</w:t>
      </w:r>
    </w:p>
    <w:p>
      <w:r>
        <w:t xml:space="preserve">erforderlichen Eintragungen notwendig oder ausreichend ist.</w:t>
      </w:r>
    </w:p>
    <w:p>
      <w:r>
        <w:rPr>
          <w:color w:val="555555"/>
          <w:sz w:val="17"/>
        </w:rPr>
        <w:t xml:space="preserve">Zitiervorschlag: § 2 BbgBauAV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https://recht.nulegal.eu/gesetze/BbgBauAV/2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