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BbgBauAV (Brandenburg) — Sachlicher Geltungsbereich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Abgrabungen und</w:t>
      </w:r>
    </w:p>
    <w:p>
      <w:r>
        <w:t xml:space="preserve">Aufschüttungen, die nach § 66 der Brandenburgischen Bauordnung einer</w:t>
      </w:r>
    </w:p>
    <w:p>
      <w:r>
        <w:t xml:space="preserve">Baugenehmigung bedürfen.</w:t>
      </w:r>
    </w:p>
    <w:p>
      <w:r>
        <w:rPr>
          <w:color w:val="555555"/>
          <w:sz w:val="17"/>
        </w:rPr>
        <w:t xml:space="preserve">Zitiervorschlag: § 1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