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BbgBadV (Brandenburg) — Bewirtschaftungsmaßnahmen in Ausnahmesituationen, Maßnahmen bei hohen Einzelwerten</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Behörde trägt dafür Sorge, dass rechtzeitige und angemessene Bewirtschaftungsmaßnahmen getroffen werden, wenn sie von unerwarteten Situationen Kenntnis erhält, die sich negativ auf die Badegewässerqualität und auf die Gesundheit der Badenden auswirken oder bei denen nach vernünftiger Einschätzung mit solchen Auswirkungen zu rechnen ist. Diese Maßnahmen schließen die Information der Öffentlichkeit und erforderlichenfalls ein zeitweiliges Badeverbot ein. Auf kurzzeitige Verschmutzungen finden die Sätze 1 und 2 entsprechende Anwendung.</w:t>
      </w:r>
    </w:p>
    <w:p>
      <w:r>
        <w:t xml:space="preserve">(2) Wird bei der Badegewässerüberwachung für den Parameter Escherichia coli ein Einzelwert von mehr als 1 800 KBE/100 ml oder für den Parameter Intestinale Enterokokken ein Einzelwert von mehr als 700 KBE/100 ml festgestellt, wird unverzüglich eine zweite Probenahme durchgeführt. Werden dabei Werte festgestellt, die mindestens einen der in Satz 1 genannten Einzelwerte erneut überschreiten, so gilt das Badegewässer als zum Baden nicht geeignet. Das Verbot ist aufzuheben, wenn durch Messungen festgestellt wurde, dass zumindest wieder eine ausreichende Badegewässerqualität erreicht ist. Bei kurzzeitigen Verschmutzungen ist ein Badeverbot nicht zwingend.</w:t>
      </w:r>
    </w:p>
    <w:p>
      <w:r>
        <w:rPr>
          <w:color w:val="555555"/>
          <w:sz w:val="17"/>
        </w:rPr>
        <w:t xml:space="preserve">Zitiervorschlag: § 7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