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BbgBadV (Brandenburg) — Inkrafttreten, Außerkrafttreten</w:t>
      </w:r>
    </w:p>
    <w:p>
      <w:r>
        <w:rPr>
          <w:color w:val="555555"/>
          <w:sz w:val="18"/>
        </w:rPr>
        <w:t xml:space="preserve">Brandenburgische Badegewässerverordnung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 nach der Verkündung in Kraft. Gleichzeitig tritt die Verordnung über Qualitätsanforderungen an Badegewässer vom 9. Juni 1997 (GVBl. II S. 466) außer Kraft.</w:t>
      </w:r>
    </w:p>
    <w:p>
      <w:r>
        <w:t xml:space="preserve">Potsdam, den 6. Februar 2008</w:t>
      </w:r>
    </w:p>
    <w:p>
      <w:r>
        <w:t xml:space="preserve">Der Minister für Ländliche Entwicklung,</w:t>
      </w:r>
    </w:p>
    <w:p>
      <w:r>
        <w:t xml:space="preserve">Umwelt und Verbraucherschutz</w:t>
      </w:r>
    </w:p>
    <w:p>
      <w:r>
        <w:t xml:space="preserve">Dr. Dietmar Woidke</w:t>
      </w:r>
    </w:p>
    <w:p>
      <w:r>
        <w:rPr>
          <w:color w:val="555555"/>
          <w:sz w:val="17"/>
        </w:rPr>
        <w:t xml:space="preserve">Zitiervorschlag: § 15 BbgBadV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https://recht.nulegal.eu/gesetze/BbgBadV/15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