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BbgBadV (Brandenburg) — Ergänzende Regelun g</w:t>
      </w:r>
    </w:p>
    <w:p>
      <w:r>
        <w:rPr>
          <w:color w:val="555555"/>
          <w:sz w:val="18"/>
        </w:rPr>
        <w:t xml:space="preserve">Brandenburgische Badegewässerverordnung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zuständige Behörde und die in ihrem Aufgabenbereich berührten Behörden wirken beim Vollzug des Wasserrechts und insbesondere bei der Anwendung der Richtlinie 2000/60/EG auf die Einhaltung dieser Verordnung hin. Die Gewässeraufsicht an den Badegewässern und den angrenzenden Gewässerabschnitten bleibt unberührt.</w:t>
      </w:r>
    </w:p>
    <w:p>
      <w:r>
        <w:rPr>
          <w:color w:val="555555"/>
          <w:sz w:val="17"/>
        </w:rPr>
        <w:t xml:space="preserve">Zitiervorschlag: § 14 BbgBadV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https://recht.nulegal.eu/gesetze/BbgBadV/14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