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BbgBadV (Brandenburg) — Beteiligung der Öffentlichkeit</w:t>
      </w:r>
    </w:p>
    <w:p>
      <w:r>
        <w:rPr>
          <w:color w:val="555555"/>
          <w:sz w:val="18"/>
        </w:rPr>
        <w:t xml:space="preserve">Brandenburgische Badegewässerverordnung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zuständige Behörde fördert die Beteiligung der Öffentlichkeit an der Umsetzung dieser Verordnung und stellt sicher, dass die betroffene Öffentlichkeit die Möglichkeit hat</w:t>
      </w:r>
    </w:p>
    <w:p>
      <w:r>
        <w:t xml:space="preserve">zu erfahren, wie sie sich beteiligen kann, und</w:t>
      </w:r>
    </w:p>
    <w:p>
      <w:r>
        <w:t xml:space="preserve">Vorschläge, Bemerkungen und Beschwerden vorzubringen.</w:t>
      </w:r>
    </w:p>
    <w:p>
      <w:r>
        <w:t xml:space="preserve">Dies bezieht sich insbesondere auf die Erstellung, die Überprüfung und die Aktualisierung der Badegewässerlisten gemäß § 3 Abs. 1.</w:t>
      </w:r>
    </w:p>
    <w:p>
      <w:r>
        <w:t xml:space="preserve">(2) Die zuständige Behörde sowie Dienststellen des Landes tragen allen Informationen, die sie erhalten, gebührend Rechnung.</w:t>
      </w:r>
    </w:p>
    <w:p>
      <w:r>
        <w:rPr>
          <w:color w:val="555555"/>
          <w:sz w:val="17"/>
        </w:rPr>
        <w:t xml:space="preserve">Zitiervorschlag: § 11 BbgBadV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https://recht.nulegal.eu/gesetze/BbgBadV/11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